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91BE97" w14:textId="77777777" w:rsidR="00857646" w:rsidRDefault="00DF35D0">
      <w:pPr>
        <w:pStyle w:val="Virsraksts1"/>
        <w:jc w:val="right"/>
        <w:outlineLvl w:val="9"/>
        <w:rPr>
          <w:b w:val="0"/>
          <w:color w:val="auto"/>
          <w:lang w:val="es-ES"/>
        </w:rPr>
      </w:pPr>
      <w:bookmarkStart w:id="0" w:name="_Toc99199062"/>
      <w:r>
        <w:rPr>
          <w:b w:val="0"/>
          <w:color w:val="auto"/>
          <w:lang w:val="es-ES"/>
        </w:rPr>
        <w:t>2. </w:t>
      </w:r>
      <w:proofErr w:type="spellStart"/>
      <w:r>
        <w:rPr>
          <w:b w:val="0"/>
          <w:color w:val="auto"/>
          <w:lang w:val="es-ES"/>
        </w:rPr>
        <w:t>pielikums</w:t>
      </w:r>
      <w:bookmarkEnd w:id="0"/>
      <w:proofErr w:type="spellEnd"/>
      <w:r>
        <w:rPr>
          <w:b w:val="0"/>
          <w:color w:val="auto"/>
          <w:lang w:val="es-ES"/>
        </w:rPr>
        <w:t xml:space="preserve"> </w:t>
      </w:r>
    </w:p>
    <w:p w14:paraId="614984D0" w14:textId="77777777" w:rsidR="00857646" w:rsidRDefault="00DF35D0">
      <w:pPr>
        <w:pStyle w:val="Parasts"/>
        <w:jc w:val="right"/>
        <w:rPr>
          <w:sz w:val="24"/>
          <w:szCs w:val="24"/>
        </w:rPr>
      </w:pPr>
      <w:r>
        <w:rPr>
          <w:sz w:val="24"/>
          <w:szCs w:val="24"/>
        </w:rPr>
        <w:t>Bērnu, jaunatnes un ģimenes attīstības</w:t>
      </w:r>
    </w:p>
    <w:p w14:paraId="5C791739" w14:textId="77777777" w:rsidR="00857646" w:rsidRDefault="00DF35D0">
      <w:pPr>
        <w:pStyle w:val="Parasts"/>
        <w:jc w:val="right"/>
        <w:rPr>
          <w:sz w:val="24"/>
          <w:szCs w:val="24"/>
        </w:rPr>
      </w:pPr>
      <w:r>
        <w:rPr>
          <w:sz w:val="24"/>
          <w:szCs w:val="24"/>
        </w:rPr>
        <w:t>pamatnostādnēm 2022.–2027. gadam</w:t>
      </w:r>
    </w:p>
    <w:p w14:paraId="2C7CC29F" w14:textId="77777777" w:rsidR="00857646" w:rsidRDefault="00857646">
      <w:pPr>
        <w:pStyle w:val="Parasts"/>
        <w:jc w:val="right"/>
        <w:rPr>
          <w:sz w:val="24"/>
          <w:szCs w:val="24"/>
        </w:rPr>
      </w:pPr>
    </w:p>
    <w:p w14:paraId="49430A3B" w14:textId="77777777" w:rsidR="00857646" w:rsidRDefault="00857646">
      <w:pPr>
        <w:pStyle w:val="Parasts"/>
        <w:rPr>
          <w:iCs/>
          <w:color w:val="000000"/>
          <w:sz w:val="20"/>
          <w:szCs w:val="20"/>
          <w:lang w:val="es-ES"/>
        </w:rPr>
      </w:pPr>
    </w:p>
    <w:p w14:paraId="2BEC4350" w14:textId="77777777" w:rsidR="00857646" w:rsidRDefault="00DF35D0">
      <w:pPr>
        <w:pStyle w:val="Parasts"/>
        <w:jc w:val="center"/>
        <w:rPr>
          <w:rFonts w:eastAsia="Calibri"/>
          <w:b/>
          <w:sz w:val="28"/>
          <w:szCs w:val="28"/>
          <w:lang w:eastAsia="en-US"/>
        </w:rPr>
      </w:pPr>
      <w:r>
        <w:rPr>
          <w:rFonts w:eastAsia="Calibri"/>
          <w:b/>
          <w:sz w:val="28"/>
          <w:szCs w:val="28"/>
          <w:lang w:eastAsia="en-US"/>
        </w:rPr>
        <w:t>Pamatnostādņu sasaiste ar politikas plānošanas dokumentiem un tiesību aktiem</w:t>
      </w:r>
    </w:p>
    <w:p w14:paraId="21DF31A6" w14:textId="77777777" w:rsidR="00857646" w:rsidRDefault="00857646">
      <w:pPr>
        <w:pStyle w:val="Parasts"/>
        <w:jc w:val="both"/>
        <w:rPr>
          <w:rFonts w:eastAsia="Calibri"/>
          <w:sz w:val="24"/>
          <w:szCs w:val="24"/>
          <w:lang w:eastAsia="en-US"/>
        </w:rPr>
      </w:pPr>
    </w:p>
    <w:p w14:paraId="0A808221" w14:textId="77777777" w:rsidR="00857646" w:rsidRDefault="00DF35D0">
      <w:pPr>
        <w:pStyle w:val="Parasts"/>
        <w:autoSpaceDE w:val="0"/>
        <w:ind w:firstLine="720"/>
        <w:jc w:val="both"/>
        <w:rPr>
          <w:rFonts w:eastAsia="Calibri"/>
          <w:sz w:val="24"/>
          <w:szCs w:val="24"/>
        </w:rPr>
      </w:pPr>
      <w:r>
        <w:rPr>
          <w:rFonts w:eastAsia="Calibri"/>
          <w:sz w:val="24"/>
          <w:szCs w:val="24"/>
        </w:rPr>
        <w:t xml:space="preserve">Pamatnostādņu izstrādi nosaka Ministru kabineta 2020.gada 4.marta </w:t>
      </w:r>
      <w:r>
        <w:rPr>
          <w:rFonts w:eastAsia="Calibri"/>
          <w:sz w:val="24"/>
          <w:szCs w:val="24"/>
        </w:rPr>
        <w:t xml:space="preserve">rīkojums nr.95 (protokols nr.8, 34.§) "Par nozaru politiku pamatnostādnēm 2021.-2027.gada plānošanas periodam". </w:t>
      </w:r>
    </w:p>
    <w:p w14:paraId="7F0CD0C6" w14:textId="77777777" w:rsidR="00857646" w:rsidRDefault="00857646">
      <w:pPr>
        <w:pStyle w:val="Parasts"/>
        <w:rPr>
          <w:rFonts w:eastAsia="Calibri"/>
          <w:sz w:val="24"/>
          <w:szCs w:val="24"/>
          <w:shd w:val="clear" w:color="auto" w:fill="FFFFFF"/>
          <w:lang w:eastAsia="en-US"/>
        </w:rPr>
      </w:pPr>
    </w:p>
    <w:p w14:paraId="29B24340" w14:textId="77777777" w:rsidR="00857646" w:rsidRDefault="00DF35D0">
      <w:pPr>
        <w:pStyle w:val="Parasts"/>
        <w:spacing w:after="120"/>
        <w:ind w:right="40"/>
        <w:jc w:val="both"/>
      </w:pPr>
      <w:r>
        <w:rPr>
          <w:rStyle w:val="Noklusjumarindkopasfonts"/>
          <w:b/>
          <w:color w:val="44546A"/>
          <w:sz w:val="24"/>
          <w:szCs w:val="24"/>
        </w:rPr>
        <w:t xml:space="preserve">Pamatnostādņu sasaiste ar </w:t>
      </w:r>
      <w:r>
        <w:rPr>
          <w:rStyle w:val="Noklusjumarindkopasfonts"/>
          <w:rFonts w:eastAsia="Calibri"/>
          <w:b/>
          <w:color w:val="44546A"/>
          <w:sz w:val="24"/>
          <w:szCs w:val="24"/>
          <w:lang w:eastAsia="en-US"/>
        </w:rPr>
        <w:t>Eiropas Savienības, Eiropas Padomes un citiem Latvijai saistošiem starptautiskajiem tiesību aktiem un dokumentiem:</w:t>
      </w:r>
    </w:p>
    <w:p w14:paraId="36CAC9E3" w14:textId="77777777" w:rsidR="00857646" w:rsidRDefault="00DF35D0">
      <w:pPr>
        <w:pStyle w:val="Sarakstarindkopa"/>
        <w:numPr>
          <w:ilvl w:val="0"/>
          <w:numId w:val="1"/>
        </w:numPr>
        <w:spacing w:after="120"/>
        <w:ind w:right="40"/>
        <w:jc w:val="both"/>
      </w:pPr>
      <w:r>
        <w:rPr>
          <w:rStyle w:val="Noklusjumarindkopasfonts"/>
          <w:b/>
          <w:iCs/>
          <w:sz w:val="24"/>
          <w:szCs w:val="24"/>
        </w:rPr>
        <w:t>ANO Vispārējā cilvēktiesību deklarācija</w:t>
      </w:r>
      <w:r>
        <w:rPr>
          <w:rStyle w:val="Noklusjumarindkopasfonts"/>
          <w:iCs/>
          <w:sz w:val="24"/>
          <w:szCs w:val="24"/>
        </w:rPr>
        <w:t xml:space="preserve"> (</w:t>
      </w:r>
      <w:r>
        <w:rPr>
          <w:rStyle w:val="Noklusjumarindkopasfonts"/>
          <w:i/>
          <w:iCs/>
          <w:sz w:val="24"/>
          <w:szCs w:val="24"/>
        </w:rPr>
        <w:t>Latvijā spēkā no 1990.gada 4.maija</w:t>
      </w:r>
      <w:r>
        <w:rPr>
          <w:rStyle w:val="Noklusjumarindkopasfonts"/>
          <w:iCs/>
          <w:sz w:val="24"/>
          <w:szCs w:val="24"/>
        </w:rPr>
        <w:t xml:space="preserve">), </w:t>
      </w:r>
      <w:r>
        <w:rPr>
          <w:rStyle w:val="Noklusjumarindkopasfonts"/>
          <w:b/>
          <w:iCs/>
          <w:sz w:val="24"/>
          <w:szCs w:val="24"/>
        </w:rPr>
        <w:t>Starptautiskais pakts par pilsoniskajām un politiskajām tiesībām</w:t>
      </w:r>
      <w:r>
        <w:rPr>
          <w:rStyle w:val="Noklusjumarindkopasfonts"/>
          <w:iCs/>
          <w:sz w:val="24"/>
          <w:szCs w:val="24"/>
        </w:rPr>
        <w:t xml:space="preserve"> (Latvijā spēkā no 1992.gada 14.jūlija) nosaka vispārējās cilvēka pamattiesības un paredz to īstenošanu bez </w:t>
      </w:r>
      <w:r>
        <w:rPr>
          <w:rStyle w:val="Noklusjumarindkopasfonts"/>
          <w:iCs/>
          <w:sz w:val="24"/>
          <w:szCs w:val="24"/>
        </w:rPr>
        <w:t>jebkādas diskriminācijas.</w:t>
      </w:r>
    </w:p>
    <w:p w14:paraId="1CAFE8ED" w14:textId="77777777" w:rsidR="00857646" w:rsidRDefault="00DF35D0">
      <w:pPr>
        <w:pStyle w:val="Sarakstarindkopa"/>
        <w:numPr>
          <w:ilvl w:val="0"/>
          <w:numId w:val="1"/>
        </w:numPr>
        <w:spacing w:after="120"/>
        <w:ind w:right="40"/>
        <w:jc w:val="both"/>
      </w:pPr>
      <w:r>
        <w:rPr>
          <w:rStyle w:val="Noklusjumarindkopasfonts"/>
          <w:b/>
          <w:sz w:val="24"/>
          <w:szCs w:val="24"/>
        </w:rPr>
        <w:t>ANO Starptautiskais pakts par ekonomiskajām, sociālajām un kultūras tiesībām</w:t>
      </w:r>
      <w:r>
        <w:rPr>
          <w:rStyle w:val="Noklusjumarindkopasfonts"/>
          <w:sz w:val="24"/>
          <w:szCs w:val="24"/>
        </w:rPr>
        <w:t xml:space="preserve"> (</w:t>
      </w:r>
      <w:r>
        <w:rPr>
          <w:rStyle w:val="Noklusjumarindkopasfonts"/>
          <w:i/>
          <w:sz w:val="24"/>
          <w:szCs w:val="24"/>
        </w:rPr>
        <w:t xml:space="preserve">Latvijā spēkā </w:t>
      </w:r>
      <w:r>
        <w:rPr>
          <w:rStyle w:val="Noklusjumarindkopasfonts"/>
          <w:i/>
          <w:iCs/>
          <w:sz w:val="24"/>
          <w:szCs w:val="24"/>
        </w:rPr>
        <w:t>no 1992.gada 14.jūlija</w:t>
      </w:r>
      <w:r>
        <w:rPr>
          <w:rStyle w:val="Noklusjumarindkopasfonts"/>
          <w:iCs/>
          <w:sz w:val="24"/>
          <w:szCs w:val="24"/>
        </w:rPr>
        <w:t>) paredz, ka tajā pasludinātās tiesības tiek īstenotas bez jebkādas diskriminācijas - neatkarīgi no rases, ādas krās</w:t>
      </w:r>
      <w:r>
        <w:rPr>
          <w:rStyle w:val="Noklusjumarindkopasfonts"/>
          <w:iCs/>
          <w:sz w:val="24"/>
          <w:szCs w:val="24"/>
        </w:rPr>
        <w:t>as, dzimuma, valodas, reliģijas, politiskās vai citas pārliecības, tautības vai sociālās izcelšanās, mantiskā stāvokļa, dzimšanas vai citiem apstākļiem.</w:t>
      </w:r>
    </w:p>
    <w:p w14:paraId="23878F4F" w14:textId="77777777" w:rsidR="00857646" w:rsidRDefault="00DF35D0">
      <w:pPr>
        <w:pStyle w:val="Sarakstarindkopa"/>
        <w:numPr>
          <w:ilvl w:val="0"/>
          <w:numId w:val="1"/>
        </w:numPr>
        <w:spacing w:after="120"/>
        <w:ind w:right="40"/>
        <w:jc w:val="both"/>
      </w:pPr>
      <w:r>
        <w:rPr>
          <w:rStyle w:val="Noklusjumarindkopasfonts"/>
          <w:rFonts w:eastAsia="Calibri"/>
          <w:b/>
          <w:iCs/>
          <w:sz w:val="24"/>
          <w:szCs w:val="24"/>
          <w:lang w:eastAsia="en-US"/>
        </w:rPr>
        <w:t>ANO Starptautiskais pakts par pilsoniskajām un politiskajām tiesībām</w:t>
      </w:r>
      <w:r>
        <w:rPr>
          <w:rStyle w:val="Noklusjumarindkopasfonts"/>
          <w:rFonts w:eastAsia="Calibri"/>
          <w:iCs/>
          <w:sz w:val="24"/>
          <w:szCs w:val="24"/>
          <w:lang w:eastAsia="en-US"/>
        </w:rPr>
        <w:t xml:space="preserve"> (</w:t>
      </w:r>
      <w:r>
        <w:rPr>
          <w:rStyle w:val="Noklusjumarindkopasfonts"/>
          <w:rFonts w:eastAsia="Calibri"/>
          <w:i/>
          <w:iCs/>
          <w:sz w:val="24"/>
          <w:szCs w:val="24"/>
          <w:lang w:eastAsia="en-US"/>
        </w:rPr>
        <w:t>Latvijā spēkā no 1992.gada 14.jūl</w:t>
      </w:r>
      <w:r>
        <w:rPr>
          <w:rStyle w:val="Noklusjumarindkopasfonts"/>
          <w:rFonts w:eastAsia="Calibri"/>
          <w:i/>
          <w:iCs/>
          <w:sz w:val="24"/>
          <w:szCs w:val="24"/>
          <w:lang w:eastAsia="en-US"/>
        </w:rPr>
        <w:t>ija</w:t>
      </w:r>
      <w:r>
        <w:rPr>
          <w:rStyle w:val="Noklusjumarindkopasfonts"/>
          <w:rFonts w:eastAsia="Calibri"/>
          <w:iCs/>
          <w:sz w:val="24"/>
          <w:szCs w:val="24"/>
          <w:lang w:eastAsia="en-US"/>
        </w:rPr>
        <w:t>) paredz personu pilsonisko un politisko tiesību īstenošanu neatkarīgi no personas no rases, ādas krāsas, dzimuma, valodas, reliģijas, nacionālās vai sociālās izcelšanās, mantiskā stāvokļa vai dzimšanas.</w:t>
      </w:r>
    </w:p>
    <w:p w14:paraId="2291A0EB" w14:textId="77777777" w:rsidR="00857646" w:rsidRDefault="00DF35D0">
      <w:pPr>
        <w:pStyle w:val="Sarakstarindkopa"/>
        <w:numPr>
          <w:ilvl w:val="0"/>
          <w:numId w:val="1"/>
        </w:numPr>
        <w:spacing w:after="120"/>
        <w:ind w:right="40"/>
        <w:jc w:val="both"/>
      </w:pPr>
      <w:r>
        <w:rPr>
          <w:rStyle w:val="Noklusjumarindkopasfonts"/>
          <w:rFonts w:eastAsia="Calibri"/>
          <w:b/>
          <w:iCs/>
          <w:sz w:val="24"/>
          <w:szCs w:val="24"/>
          <w:lang w:eastAsia="en-US"/>
        </w:rPr>
        <w:t>ANO Konvencija par jebkuras sieviešu diskrimināci</w:t>
      </w:r>
      <w:r>
        <w:rPr>
          <w:rStyle w:val="Noklusjumarindkopasfonts"/>
          <w:rFonts w:eastAsia="Calibri"/>
          <w:b/>
          <w:iCs/>
          <w:sz w:val="24"/>
          <w:szCs w:val="24"/>
          <w:lang w:eastAsia="en-US"/>
        </w:rPr>
        <w:t>jas izskaušanu</w:t>
      </w:r>
      <w:r>
        <w:rPr>
          <w:rStyle w:val="Noklusjumarindkopasfonts"/>
          <w:rFonts w:eastAsia="Calibri"/>
          <w:iCs/>
          <w:sz w:val="24"/>
          <w:szCs w:val="24"/>
          <w:lang w:eastAsia="en-US"/>
        </w:rPr>
        <w:t xml:space="preserve">, </w:t>
      </w:r>
      <w:r>
        <w:rPr>
          <w:rStyle w:val="Noklusjumarindkopasfonts"/>
          <w:rFonts w:eastAsia="Calibri"/>
          <w:i/>
          <w:iCs/>
          <w:sz w:val="24"/>
          <w:szCs w:val="24"/>
          <w:lang w:eastAsia="en-US"/>
        </w:rPr>
        <w:t>kas tika pieņemta ANO Ģenerālajā Asamblejā 1979.gada 18.decembrī</w:t>
      </w:r>
      <w:r>
        <w:rPr>
          <w:rStyle w:val="Noklusjumarindkopasfonts"/>
          <w:rFonts w:eastAsia="Calibri"/>
          <w:iCs/>
          <w:sz w:val="24"/>
          <w:szCs w:val="24"/>
          <w:lang w:eastAsia="en-US"/>
        </w:rPr>
        <w:t>, nosakot starptautiski vienotu sieviešu cilvēktiesību standartu, Latvijā stājās spēkā 1992.gada 14.maijā. Tai pievienojoties, Latvija uzņēmusies veicināt sieviešu un vīriešu l</w:t>
      </w:r>
      <w:r>
        <w:rPr>
          <w:rStyle w:val="Noklusjumarindkopasfonts"/>
          <w:rFonts w:eastAsia="Calibri"/>
          <w:iCs/>
          <w:sz w:val="24"/>
          <w:szCs w:val="24"/>
          <w:lang w:eastAsia="en-US"/>
        </w:rPr>
        <w:t>īdztiesību visās dzīves jomās, izmainot sieviešu un vīriešu sociālās un kultūras uzvedības modeļus ar mērķi izskaust dzimumu aizspriedumus un no tiem izrietošas negatīvās prakses.</w:t>
      </w:r>
    </w:p>
    <w:p w14:paraId="47D71B55" w14:textId="77777777" w:rsidR="00857646" w:rsidRDefault="00DF35D0">
      <w:pPr>
        <w:pStyle w:val="Sarakstarindkopa"/>
        <w:numPr>
          <w:ilvl w:val="0"/>
          <w:numId w:val="1"/>
        </w:numPr>
        <w:spacing w:after="120"/>
        <w:ind w:right="40"/>
        <w:jc w:val="both"/>
      </w:pPr>
      <w:r>
        <w:rPr>
          <w:rStyle w:val="Noklusjumarindkopasfonts"/>
          <w:rFonts w:eastAsia="Calibri"/>
          <w:b/>
          <w:iCs/>
          <w:sz w:val="24"/>
          <w:szCs w:val="24"/>
          <w:lang w:eastAsia="en-US"/>
        </w:rPr>
        <w:t>ANO Bērnu tiesību konvencija</w:t>
      </w:r>
      <w:r>
        <w:rPr>
          <w:rStyle w:val="Noklusjumarindkopasfonts"/>
          <w:rFonts w:eastAsia="Calibri"/>
          <w:iCs/>
          <w:sz w:val="24"/>
          <w:szCs w:val="24"/>
          <w:lang w:eastAsia="en-US"/>
        </w:rPr>
        <w:t xml:space="preserve"> (</w:t>
      </w:r>
      <w:r>
        <w:rPr>
          <w:rStyle w:val="Noklusjumarindkopasfonts"/>
          <w:rFonts w:eastAsia="Calibri"/>
          <w:i/>
          <w:iCs/>
          <w:sz w:val="24"/>
          <w:szCs w:val="24"/>
          <w:lang w:eastAsia="en-US"/>
        </w:rPr>
        <w:t>pieņemta ANO Ģenerālajā asamblejā 1989.gada 20</w:t>
      </w:r>
      <w:r>
        <w:rPr>
          <w:rStyle w:val="Noklusjumarindkopasfonts"/>
          <w:rFonts w:eastAsia="Calibri"/>
          <w:i/>
          <w:iCs/>
          <w:sz w:val="24"/>
          <w:szCs w:val="24"/>
          <w:lang w:eastAsia="en-US"/>
        </w:rPr>
        <w:t>.novembrī, Latvijā stājās spēkā 1992.gada 14.maijā</w:t>
      </w:r>
      <w:r>
        <w:rPr>
          <w:rStyle w:val="Noklusjumarindkopasfonts"/>
          <w:rFonts w:eastAsia="Calibri"/>
          <w:iCs/>
          <w:sz w:val="24"/>
          <w:szCs w:val="24"/>
          <w:lang w:eastAsia="en-US"/>
        </w:rPr>
        <w:t>). Konvencija aptver bērnu pilsoniskās, politiskās, sociālās, ekonomiskās un kultūras tiesības no dzimšanas līdz pilngadības sasniegšanai. Pievienojoties konvencijai, Latvija ir apņēmusies nodrošināt konven</w:t>
      </w:r>
      <w:r>
        <w:rPr>
          <w:rStyle w:val="Noklusjumarindkopasfonts"/>
          <w:rFonts w:eastAsia="Calibri"/>
          <w:iCs/>
          <w:sz w:val="24"/>
          <w:szCs w:val="24"/>
          <w:lang w:eastAsia="en-US"/>
        </w:rPr>
        <w:t>cija paredzētās bērnu tiesības bez jebkādas diskriminācijas un neatkarīgi no bērna, viņa vecāku vai aizbildņu rases, ādas krāsas, dzimuma, valodas, reliģiskās piederības, politiskās vai citas pārliecības, nacionālās, etniskās vai sociālās izcelsmes, mantis</w:t>
      </w:r>
      <w:r>
        <w:rPr>
          <w:rStyle w:val="Noklusjumarindkopasfonts"/>
          <w:rFonts w:eastAsia="Calibri"/>
          <w:iCs/>
          <w:sz w:val="24"/>
          <w:szCs w:val="24"/>
          <w:lang w:eastAsia="en-US"/>
        </w:rPr>
        <w:t>kā stāvokļa, veselības stāvokļa un dzimšanas apstākļiem vai jebkādiem citiem apstākļiem.</w:t>
      </w:r>
      <w:r>
        <w:t xml:space="preserve"> </w:t>
      </w:r>
      <w:r>
        <w:rPr>
          <w:rStyle w:val="Noklusjumarindkopasfonts"/>
          <w:rFonts w:eastAsia="Calibri"/>
          <w:iCs/>
          <w:sz w:val="24"/>
          <w:szCs w:val="24"/>
          <w:lang w:eastAsia="en-US"/>
        </w:rPr>
        <w:t>ANO Bērnu tiesību konvencijas 19.pants paredz, ka dalībvalstis veic visus attiecīgos likumdošanas, administratīvos, sociālos un izglītošanas pasākumus, lai ikvienu bēr</w:t>
      </w:r>
      <w:r>
        <w:rPr>
          <w:rStyle w:val="Noklusjumarindkopasfonts"/>
          <w:rFonts w:eastAsia="Calibri"/>
          <w:iCs/>
          <w:sz w:val="24"/>
          <w:szCs w:val="24"/>
          <w:lang w:eastAsia="en-US"/>
        </w:rPr>
        <w:t>nu aizsargātu pret fizisku vai psiholoģisku vardarbību, miesas bojājumiem vai nežēlīgu, nevērīgu vai nolaidīgu izturēšanos, sliktu izturēšanos vai ekspluatāciju, tostarp pret seksuālu vardarbību, kamēr viņš ir vecāku, aizbildņu vai jebkuras citas par bērnu</w:t>
      </w:r>
      <w:r>
        <w:rPr>
          <w:rStyle w:val="Noklusjumarindkopasfonts"/>
          <w:rFonts w:eastAsia="Calibri"/>
          <w:iCs/>
          <w:sz w:val="24"/>
          <w:szCs w:val="24"/>
          <w:lang w:eastAsia="en-US"/>
        </w:rPr>
        <w:t xml:space="preserve"> atbildīgas personas aprūpē. Vienlaikus ANO Bērnu tiesību komitejas Vispārējais komentārs Nr.13 (2011)</w:t>
      </w:r>
      <w:r>
        <w:rPr>
          <w:rStyle w:val="Vresatsauce"/>
          <w:rFonts w:eastAsia="Calibri"/>
          <w:iCs/>
          <w:sz w:val="24"/>
          <w:szCs w:val="24"/>
          <w:lang w:eastAsia="en-US"/>
        </w:rPr>
        <w:footnoteReference w:id="1"/>
      </w:r>
      <w:r>
        <w:rPr>
          <w:rStyle w:val="Noklusjumarindkopasfonts"/>
          <w:rFonts w:eastAsia="Calibri"/>
          <w:iCs/>
          <w:sz w:val="24"/>
          <w:szCs w:val="24"/>
          <w:lang w:eastAsia="en-US"/>
        </w:rPr>
        <w:t xml:space="preserve"> paredz, ka vardarbība pret bērniem nav attaisnojama, visa veida </w:t>
      </w:r>
      <w:r>
        <w:rPr>
          <w:rStyle w:val="Noklusjumarindkopasfonts"/>
          <w:rFonts w:eastAsia="Calibri"/>
          <w:iCs/>
          <w:sz w:val="24"/>
          <w:szCs w:val="24"/>
          <w:lang w:eastAsia="en-US"/>
        </w:rPr>
        <w:lastRenderedPageBreak/>
        <w:t>vardarbība pret bērniem ir novēršama. Tāpat ANO Bērnu tiesību komiteja atzīst, ka sevišķi svarīga ir visu veidu vardarbības primāra novēršana, izmantojot sa</w:t>
      </w:r>
      <w:r>
        <w:rPr>
          <w:rStyle w:val="Noklusjumarindkopasfonts"/>
          <w:rFonts w:eastAsia="Calibri"/>
          <w:iCs/>
          <w:sz w:val="24"/>
          <w:szCs w:val="24"/>
          <w:lang w:eastAsia="en-US"/>
        </w:rPr>
        <w:t>biedrības veselības, izglītības un sociālos dienestus un citas pieejas.</w:t>
      </w:r>
    </w:p>
    <w:p w14:paraId="22405C0E" w14:textId="77777777" w:rsidR="00857646" w:rsidRDefault="00DF35D0">
      <w:pPr>
        <w:pStyle w:val="Sarakstarindkopa"/>
        <w:numPr>
          <w:ilvl w:val="0"/>
          <w:numId w:val="1"/>
        </w:numPr>
        <w:spacing w:after="120"/>
        <w:ind w:right="40"/>
        <w:jc w:val="both"/>
      </w:pPr>
      <w:r>
        <w:rPr>
          <w:rStyle w:val="Noklusjumarindkopasfonts"/>
          <w:rFonts w:eastAsia="Calibri"/>
          <w:b/>
          <w:iCs/>
          <w:sz w:val="24"/>
          <w:szCs w:val="24"/>
          <w:lang w:eastAsia="en-US"/>
        </w:rPr>
        <w:t>ANO Konvencija par personu ar invaliditāti tiesībām</w:t>
      </w:r>
      <w:r>
        <w:rPr>
          <w:rStyle w:val="Noklusjumarindkopasfonts"/>
          <w:rFonts w:eastAsia="Calibri"/>
          <w:iCs/>
          <w:sz w:val="24"/>
          <w:szCs w:val="24"/>
          <w:lang w:eastAsia="en-US"/>
        </w:rPr>
        <w:t xml:space="preserve"> (</w:t>
      </w:r>
      <w:r>
        <w:rPr>
          <w:rStyle w:val="Noklusjumarindkopasfonts"/>
          <w:rFonts w:eastAsia="Calibri"/>
          <w:i/>
          <w:iCs/>
          <w:sz w:val="24"/>
          <w:szCs w:val="24"/>
          <w:lang w:eastAsia="en-US"/>
        </w:rPr>
        <w:t>pieņemta ANO Ģenerālajā asamblejā 2006.gada 13.decembrī,  Latvijā stājās spēkā 2010.gada 31.martā</w:t>
      </w:r>
      <w:r>
        <w:rPr>
          <w:rStyle w:val="Noklusjumarindkopasfonts"/>
          <w:rFonts w:eastAsia="Calibri"/>
          <w:iCs/>
          <w:sz w:val="24"/>
          <w:szCs w:val="24"/>
          <w:lang w:eastAsia="en-US"/>
        </w:rPr>
        <w:t>). Ratificējot Konvenciju, Latvija</w:t>
      </w:r>
      <w:r>
        <w:rPr>
          <w:rStyle w:val="Noklusjumarindkopasfonts"/>
          <w:rFonts w:eastAsia="Calibri"/>
          <w:iCs/>
          <w:sz w:val="24"/>
          <w:szCs w:val="24"/>
          <w:lang w:eastAsia="en-US"/>
        </w:rPr>
        <w:t xml:space="preserve"> ir apņēmusies nodrošināt un veicināt to, lai visas personas ar invaliditāti varētu pilnībā īstenot visas cilvēktiesības un pamatbrīvības bez jebkāda veida diskriminācijas invaliditātes dēļ. Konvencija nosaka sfēras, kurās dalībvalstīm nepieciešams veikt p</w:t>
      </w:r>
      <w:r>
        <w:rPr>
          <w:rStyle w:val="Noklusjumarindkopasfonts"/>
          <w:rFonts w:eastAsia="Calibri"/>
          <w:iCs/>
          <w:sz w:val="24"/>
          <w:szCs w:val="24"/>
          <w:lang w:eastAsia="en-US"/>
        </w:rPr>
        <w:t>asākumus, lai personas ar invaliditāti varētu īstenot savas tiesības, kā arī nosaka jomas, kurās stiprināma personu ar invaliditāti tiesību aizsardzība, tai skaitā, sabiedrības izpratnes veidošana un stereotipu un aizspriedumu apkarošana; pieeja fiziskajai</w:t>
      </w:r>
      <w:r>
        <w:rPr>
          <w:rStyle w:val="Noklusjumarindkopasfonts"/>
          <w:rFonts w:eastAsia="Calibri"/>
          <w:iCs/>
          <w:sz w:val="24"/>
          <w:szCs w:val="24"/>
          <w:lang w:eastAsia="en-US"/>
        </w:rPr>
        <w:t xml:space="preserve"> videi, transportam, informācijai un sakariem; patstāvīgs dzīvesveids un iekļaušanās un līdzdalība sabiedrības dzīvē ar atbilstošiem pakalpojumiem un citiem sociālā atbalsta pasākumiem; individuālā pārvietošanās ar pēc iespējas lielāku personīgo patstāvību</w:t>
      </w:r>
      <w:r>
        <w:rPr>
          <w:rStyle w:val="Noklusjumarindkopasfonts"/>
          <w:rFonts w:eastAsia="Calibri"/>
          <w:iCs/>
          <w:sz w:val="24"/>
          <w:szCs w:val="24"/>
          <w:lang w:eastAsia="en-US"/>
        </w:rPr>
        <w:t>; vispusīgu adaptācijas un rehabilitācijas pakalpojumu un programmu nodrošināšana, jo īpaši veselības aizsardzības, nodarbinātības, izglītības un sociālo pakalpojumu jomā; iekļaušanās darba tirgū un atbilstošas un drošas darba vides veidošana; pienācīgs dz</w:t>
      </w:r>
      <w:r>
        <w:rPr>
          <w:rStyle w:val="Noklusjumarindkopasfonts"/>
          <w:rFonts w:eastAsia="Calibri"/>
          <w:iCs/>
          <w:sz w:val="24"/>
          <w:szCs w:val="24"/>
          <w:lang w:eastAsia="en-US"/>
        </w:rPr>
        <w:t>īves līmenis un sociālā aizsardzība). Vienlaikus konvencija nosaka, ka dalībvalstis veic visus nepieciešamos pasākumus, lai nodrošinātu, ka bērni ar invaliditāti vienlīdzīgi ar citiem bērniem pilnībā var īstenot visas cilvēktiesības un pamatbrīvības. Lai t</w:t>
      </w:r>
      <w:r>
        <w:rPr>
          <w:rStyle w:val="Noklusjumarindkopasfonts"/>
          <w:rFonts w:eastAsia="Calibri"/>
          <w:iCs/>
          <w:sz w:val="24"/>
          <w:szCs w:val="24"/>
          <w:lang w:eastAsia="en-US"/>
        </w:rPr>
        <w:t>o nodrošinātu, ir ieviests komplekss atbalsta pasākumu kopums gan valsts, gan pašvaldības pusē, piedāvājot atbalstu gan monetārā veidā, gan pakalpojumu un atvieglojumu veidā, kas kopumā sekmē bērna ar invaliditāti labāko interešu nodrošināšanu un veicina b</w:t>
      </w:r>
      <w:r>
        <w:rPr>
          <w:rStyle w:val="Noklusjumarindkopasfonts"/>
          <w:rFonts w:eastAsia="Calibri"/>
          <w:iCs/>
          <w:sz w:val="24"/>
          <w:szCs w:val="24"/>
          <w:lang w:eastAsia="en-US"/>
        </w:rPr>
        <w:t>ērna iekļaušanos sabiedrībā.</w:t>
      </w:r>
    </w:p>
    <w:p w14:paraId="1A184634" w14:textId="77777777" w:rsidR="00857646" w:rsidRDefault="00DF35D0">
      <w:pPr>
        <w:pStyle w:val="Sarakstarindkopa"/>
        <w:numPr>
          <w:ilvl w:val="0"/>
          <w:numId w:val="1"/>
        </w:numPr>
        <w:spacing w:after="120"/>
        <w:ind w:right="40"/>
        <w:jc w:val="both"/>
      </w:pPr>
      <w:r>
        <w:rPr>
          <w:rStyle w:val="Noklusjumarindkopasfonts"/>
          <w:rFonts w:eastAsia="Calibri"/>
          <w:b/>
          <w:iCs/>
          <w:sz w:val="24"/>
          <w:szCs w:val="24"/>
          <w:lang w:eastAsia="en-US"/>
        </w:rPr>
        <w:t>Eiropas Parlamenta un Padomes 2019.gada 20.jūnija direktīva 2019/1158</w:t>
      </w:r>
      <w:r>
        <w:rPr>
          <w:rStyle w:val="Noklusjumarindkopasfonts"/>
          <w:rFonts w:eastAsia="Calibri"/>
          <w:iCs/>
          <w:sz w:val="24"/>
          <w:szCs w:val="24"/>
          <w:lang w:eastAsia="en-US"/>
        </w:rPr>
        <w:t xml:space="preserve"> par darba un privātās dzīves līdzsvaru vecākiem un aprūpētājiem un ar ko atceļ Padomes Direktīvu 2010/18/ES ievieš minimālos standartus attiecībā uz </w:t>
      </w:r>
      <w:r>
        <w:rPr>
          <w:rStyle w:val="Noklusjumarindkopasfonts"/>
          <w:rFonts w:eastAsia="Calibri"/>
          <w:iCs/>
          <w:sz w:val="24"/>
          <w:szCs w:val="24"/>
          <w:lang w:eastAsia="en-US"/>
        </w:rPr>
        <w:t>atvaļinājumu ģimenes apstākļu dēļ un elastīgu darba režīmu darba ņēmējiem, kā arī veicina aprūpes pienākumu vienlīdzīgu sadali starp vecākiem. Direktīva ietvert dalībvalstu pienākumu nodrošināt: 1) vismaz 10 darba dienas ilgu apmaksātu paternitātes atvaļin</w:t>
      </w:r>
      <w:r>
        <w:rPr>
          <w:rStyle w:val="Noklusjumarindkopasfonts"/>
          <w:rFonts w:eastAsia="Calibri"/>
          <w:iCs/>
          <w:sz w:val="24"/>
          <w:szCs w:val="24"/>
          <w:lang w:eastAsia="en-US"/>
        </w:rPr>
        <w:t>ājumu bērna tēvam; 2) vismaz četrus mēnešus ilgu vecāku atvaļinājumu katram no bērna vecākiem ar vairākiem nosacījumiem, t.sk.: vismaz divi mēneši no vecāku atvaļinājuma ir apmaksāti un nav nododami otram vecākam, darbiniekiem jābūt tiesībām vecāku atvaļin</w:t>
      </w:r>
      <w:r>
        <w:rPr>
          <w:rStyle w:val="Noklusjumarindkopasfonts"/>
          <w:rFonts w:eastAsia="Calibri"/>
          <w:iCs/>
          <w:sz w:val="24"/>
          <w:szCs w:val="24"/>
          <w:lang w:eastAsia="en-US"/>
        </w:rPr>
        <w:t>ājumu lūgt izmantot elastīgā veidā, papildus izvērtējama vecāku atvaļinājuma nosacījumu pielāgošana adoptētājiem un vecākiem, kuriem ir ilgstoši slimojoši bērni vai bērni ar invaliditāti; 3) vismaz piecu darba dienu gadā ilgu aprūpētāja atvaļinājumu, ja ta</w:t>
      </w:r>
      <w:r>
        <w:rPr>
          <w:rStyle w:val="Noklusjumarindkopasfonts"/>
          <w:rFonts w:eastAsia="Calibri"/>
          <w:iCs/>
          <w:sz w:val="24"/>
          <w:szCs w:val="24"/>
          <w:lang w:eastAsia="en-US"/>
        </w:rPr>
        <w:t>s nepieciešams saistībā ar darbinieka piederīgā medicīnisko stāvokli; 4) darbinieku tiesības lūgt elastīgu darba režīmu bērna aprūpes nolūkā (līdz bērna vismaz 8 gadu vecumam) un darba devēju pienākumu šādus lūgumus izskatīt un uz tiem reaģēt; 5) darbiniek</w:t>
      </w:r>
      <w:r>
        <w:rPr>
          <w:rStyle w:val="Noklusjumarindkopasfonts"/>
          <w:rFonts w:eastAsia="Calibri"/>
          <w:iCs/>
          <w:sz w:val="24"/>
          <w:szCs w:val="24"/>
          <w:lang w:eastAsia="en-US"/>
        </w:rPr>
        <w:t>u iegūto tiesību saglabāšanu paternitātes, vecāku vai aprūpētāja atvaļinājuma laikā, kā arī darbinieku aizsardzību pret diskrimināciju, atlaišanu un citām nelabvēlīgām sekām, ja darbinieks ir izmantojis Direktīvā paredzētās tiesības. 2022.gada 15.septembrī</w:t>
      </w:r>
      <w:r>
        <w:rPr>
          <w:rStyle w:val="Noklusjumarindkopasfonts"/>
          <w:rFonts w:eastAsia="Calibri"/>
          <w:iCs/>
          <w:sz w:val="24"/>
          <w:szCs w:val="24"/>
          <w:lang w:eastAsia="en-US"/>
        </w:rPr>
        <w:t xml:space="preserve"> pieņemti grozījumi likumā "Par maternitātes un slimības apdrošināšanu", kas stājas 2023.gada 1.janvārī. </w:t>
      </w:r>
      <w:r>
        <w:rPr>
          <w:rStyle w:val="Noklusjumarindkopasfonts"/>
          <w:rFonts w:eastAsia="Calibri"/>
          <w:b/>
          <w:iCs/>
          <w:sz w:val="24"/>
          <w:szCs w:val="24"/>
          <w:lang w:eastAsia="en-US"/>
        </w:rPr>
        <w:t xml:space="preserve">Eiropas Parlamenta un Padomes 2012.gada 15.oktobra direktīva 2012/29/ES, </w:t>
      </w:r>
      <w:r>
        <w:rPr>
          <w:rStyle w:val="Noklusjumarindkopasfonts"/>
          <w:rFonts w:eastAsia="Calibri"/>
          <w:iCs/>
          <w:sz w:val="24"/>
          <w:szCs w:val="24"/>
          <w:lang w:eastAsia="en-US"/>
        </w:rPr>
        <w:t>ar ko nosaka noziegumos cietušo tiesību, atbalsta un aizsardzības minimālos st</w:t>
      </w:r>
      <w:r>
        <w:rPr>
          <w:rStyle w:val="Noklusjumarindkopasfonts"/>
          <w:rFonts w:eastAsia="Calibri"/>
          <w:iCs/>
          <w:sz w:val="24"/>
          <w:szCs w:val="24"/>
          <w:lang w:eastAsia="en-US"/>
        </w:rPr>
        <w:t>andartus un aizstāj Padomes Pamatlēmumu 2001/220/TI (turpmāk – direktīva 2012/29/ES). Direktīvā 2012/29/ES ir noteikts, ka bērni vienmēr tiek uzskatīti par neaizsargātiem cietušajiem, it īpaši sekundāras un atkārtotas viktimizācijas, kā arī iebiedēšanas un</w:t>
      </w:r>
      <w:r>
        <w:rPr>
          <w:rStyle w:val="Noklusjumarindkopasfonts"/>
          <w:rFonts w:eastAsia="Calibri"/>
          <w:iCs/>
          <w:sz w:val="24"/>
          <w:szCs w:val="24"/>
          <w:lang w:eastAsia="en-US"/>
        </w:rPr>
        <w:t xml:space="preserve"> represiju dēļ.</w:t>
      </w:r>
      <w:r>
        <w:t xml:space="preserve"> </w:t>
      </w:r>
      <w:r>
        <w:rPr>
          <w:rStyle w:val="Noklusjumarindkopasfonts"/>
          <w:rFonts w:eastAsia="Calibri"/>
          <w:iCs/>
          <w:sz w:val="24"/>
          <w:szCs w:val="24"/>
          <w:lang w:eastAsia="en-US"/>
        </w:rPr>
        <w:t>Direktīva 2012/29/ES ir būtiskākais pārnacionālais instruments taisnīguma atjaunošanas jomā Eiropas Savienībā, it sevišķi ņemot vērā tās saistošo statusu. Tajā faktiski ir sniegts plašs taisnīguma atjaunošanas procesa, iznākuma un pieeju de</w:t>
      </w:r>
      <w:r>
        <w:rPr>
          <w:rStyle w:val="Noklusjumarindkopasfonts"/>
          <w:rFonts w:eastAsia="Calibri"/>
          <w:iCs/>
          <w:sz w:val="24"/>
          <w:szCs w:val="24"/>
          <w:lang w:eastAsia="en-US"/>
        </w:rPr>
        <w:t xml:space="preserve">finējums, tajā noteikts dalībvalstu pienākums attiecībā uz cietušo personu informēšanu par taisnīguma </w:t>
      </w:r>
      <w:r>
        <w:rPr>
          <w:rStyle w:val="Noklusjumarindkopasfonts"/>
          <w:rFonts w:eastAsia="Calibri"/>
          <w:iCs/>
          <w:sz w:val="24"/>
          <w:szCs w:val="24"/>
          <w:lang w:eastAsia="en-US"/>
        </w:rPr>
        <w:lastRenderedPageBreak/>
        <w:t>atjaunošanas pieeju iespējām un veicināt šo pieeju pielietošanu, kā arī ir noteikti noziegumu upuru aizsardzības līdzekļi taisnīguma atjaunošanas kontekst</w:t>
      </w:r>
      <w:r>
        <w:rPr>
          <w:rStyle w:val="Noklusjumarindkopasfonts"/>
          <w:rFonts w:eastAsia="Calibri"/>
          <w:iCs/>
          <w:sz w:val="24"/>
          <w:szCs w:val="24"/>
          <w:lang w:eastAsia="en-US"/>
        </w:rPr>
        <w:t>ā. Direktīvas 2012/29/ES 12.pantā noteiktas cietušo tiesības uz aizsardzību ar mērķi nodrošināt, ka cietušajiem, kas ir izvēlējušies piedalīties atjaunojošās justīcijas procesā, ir pieejami droši un lietpratīgi atjaunojošās justīcijas pakalpojumi.</w:t>
      </w:r>
    </w:p>
    <w:p w14:paraId="3049E673" w14:textId="77777777" w:rsidR="00857646" w:rsidRDefault="00DF35D0">
      <w:pPr>
        <w:pStyle w:val="Parasts"/>
        <w:jc w:val="both"/>
        <w:rPr>
          <w:b/>
          <w:color w:val="44546A"/>
          <w:sz w:val="24"/>
          <w:szCs w:val="24"/>
        </w:rPr>
      </w:pPr>
      <w:r>
        <w:rPr>
          <w:b/>
          <w:color w:val="44546A"/>
          <w:sz w:val="24"/>
          <w:szCs w:val="24"/>
        </w:rPr>
        <w:t>Pamatnos</w:t>
      </w:r>
      <w:r>
        <w:rPr>
          <w:b/>
          <w:color w:val="44546A"/>
          <w:sz w:val="24"/>
          <w:szCs w:val="24"/>
        </w:rPr>
        <w:t>tādņu sasaiste ar nacionālā līmeņa ilgtermiņa un vidēja termiņa attīstības plānošanas dokumentiem:</w:t>
      </w:r>
    </w:p>
    <w:p w14:paraId="1E1A8E0A" w14:textId="77777777" w:rsidR="00857646" w:rsidRDefault="00DF35D0">
      <w:pPr>
        <w:pStyle w:val="Sarakstarindkopa"/>
        <w:numPr>
          <w:ilvl w:val="0"/>
          <w:numId w:val="2"/>
        </w:numPr>
        <w:jc w:val="both"/>
      </w:pPr>
      <w:r>
        <w:rPr>
          <w:rStyle w:val="Noklusjumarindkopasfonts"/>
          <w:b/>
          <w:sz w:val="24"/>
          <w:szCs w:val="24"/>
        </w:rPr>
        <w:t>"Azartspēļu un izložu politikas pamatnostādnes 2021.-2027.gadam"</w:t>
      </w:r>
      <w:r>
        <w:rPr>
          <w:rStyle w:val="Noklusjumarindkopasfonts"/>
          <w:sz w:val="24"/>
          <w:szCs w:val="24"/>
        </w:rPr>
        <w:t xml:space="preserve"> (</w:t>
      </w:r>
      <w:r>
        <w:rPr>
          <w:rStyle w:val="Noklusjumarindkopasfonts"/>
          <w:i/>
          <w:sz w:val="24"/>
          <w:szCs w:val="24"/>
        </w:rPr>
        <w:t>Ministru kabineta 2021.gada 14.jūlija rīkojums Nr.509</w:t>
      </w:r>
      <w:r>
        <w:rPr>
          <w:rStyle w:val="Noklusjumarindkopasfonts"/>
          <w:sz w:val="24"/>
          <w:szCs w:val="24"/>
        </w:rPr>
        <w:t>), kuru mērķis ir mērķis ir veicināt s</w:t>
      </w:r>
      <w:r>
        <w:rPr>
          <w:rStyle w:val="Noklusjumarindkopasfonts"/>
          <w:sz w:val="24"/>
          <w:szCs w:val="24"/>
        </w:rPr>
        <w:t>abiedrības interešu aizstāvību, mazinot ar azartspēlēm un izlozēm saistītos riskus, nodrošinot kontrolētu, caurskatāmu, legālu, sociāli atbildīgu un atkarības riskus neradošu azartspēļu un izložu organizēšanas vidi.</w:t>
      </w:r>
      <w:r>
        <w:t xml:space="preserve"> </w:t>
      </w:r>
      <w:r>
        <w:rPr>
          <w:rStyle w:val="Noklusjumarindkopasfonts"/>
          <w:sz w:val="24"/>
          <w:szCs w:val="24"/>
        </w:rPr>
        <w:t>Latvijas Nacionālā attīstības plānā 2021</w:t>
      </w:r>
      <w:r>
        <w:rPr>
          <w:rStyle w:val="Noklusjumarindkopasfonts"/>
          <w:sz w:val="24"/>
          <w:szCs w:val="24"/>
        </w:rPr>
        <w:t>.-2027.gadam kā prioritāte ir izvirzītas "Stipras ģimenes, veseli un aktīvi cilvēki", paredzot rīcības virziena "Psiholoģiskā un emocionālā labklājība" rīcības mērķi "Psiholoģiskās un emocionālās labklājības veicināšana cilvēku atbalstam krīzes situācijās,</w:t>
      </w:r>
      <w:r>
        <w:rPr>
          <w:rStyle w:val="Noklusjumarindkopasfonts"/>
          <w:sz w:val="24"/>
          <w:szCs w:val="24"/>
        </w:rPr>
        <w:t xml:space="preserve"> individuālā potenciāla attīstībai un deviantas uzvedības veidošanās risku mazināšanai, nostiprinot veselību kā vērtību", izvirzot citā starpā kā uzdevumu - "pierādījumos balstīti efektīvi un inovatīvi risinājumi atkarību izraisošo vielu un procesu izplatī</w:t>
      </w:r>
      <w:r>
        <w:rPr>
          <w:rStyle w:val="Noklusjumarindkopasfonts"/>
          <w:sz w:val="24"/>
          <w:szCs w:val="24"/>
        </w:rPr>
        <w:t>bas ierobežošanai, […], uzlabojot sabiedrības kognitīvās spējas un psihisko veselību".</w:t>
      </w:r>
    </w:p>
    <w:p w14:paraId="7BC7DB50" w14:textId="77777777" w:rsidR="00857646" w:rsidRDefault="00DF35D0">
      <w:pPr>
        <w:pStyle w:val="Sarakstarindkopa"/>
        <w:numPr>
          <w:ilvl w:val="0"/>
          <w:numId w:val="2"/>
        </w:numPr>
        <w:jc w:val="both"/>
      </w:pPr>
      <w:r>
        <w:rPr>
          <w:rStyle w:val="Noklusjumarindkopasfonts"/>
          <w:b/>
          <w:sz w:val="24"/>
          <w:szCs w:val="24"/>
        </w:rPr>
        <w:t>Digitālās transformācijas pamatnostādnes 2021.-2027.gadam"</w:t>
      </w:r>
      <w:r>
        <w:rPr>
          <w:rStyle w:val="Noklusjumarindkopasfonts"/>
          <w:sz w:val="24"/>
          <w:szCs w:val="24"/>
        </w:rPr>
        <w:t xml:space="preserve"> (</w:t>
      </w:r>
      <w:r>
        <w:rPr>
          <w:rStyle w:val="Noklusjumarindkopasfonts"/>
          <w:i/>
          <w:sz w:val="24"/>
          <w:szCs w:val="24"/>
        </w:rPr>
        <w:t>Ministru kabineta 2021.gada 6.jūlija rīkojums nr.490</w:t>
      </w:r>
      <w:r>
        <w:rPr>
          <w:rStyle w:val="Noklusjumarindkopasfonts"/>
          <w:sz w:val="24"/>
          <w:szCs w:val="24"/>
        </w:rPr>
        <w:t>) attīstības virziena "Digitālās prasmes un izglītība" ie</w:t>
      </w:r>
      <w:r>
        <w:rPr>
          <w:rStyle w:val="Noklusjumarindkopasfonts"/>
          <w:sz w:val="24"/>
          <w:szCs w:val="24"/>
        </w:rPr>
        <w:t>tvaros paredz digitālo prasmju kā caurviju pamatprasmju integrēšanu izglītības un mūžizglītības mācību programmās. Pamatnostādnēs ietverti pasākumi sabiedrības informēšanu un izglītošanu par bērnu drošību internetā un izstrādāt materiālus skolām par drošīb</w:t>
      </w:r>
      <w:r>
        <w:rPr>
          <w:rStyle w:val="Noklusjumarindkopasfonts"/>
          <w:sz w:val="24"/>
          <w:szCs w:val="24"/>
        </w:rPr>
        <w:t>u internetā un digitālās pratības paaugstināšanai.</w:t>
      </w:r>
    </w:p>
    <w:p w14:paraId="3D35896B" w14:textId="77777777" w:rsidR="00857646" w:rsidRDefault="00DF35D0">
      <w:pPr>
        <w:pStyle w:val="Sarakstarindkopa"/>
        <w:numPr>
          <w:ilvl w:val="0"/>
          <w:numId w:val="2"/>
        </w:numPr>
        <w:jc w:val="both"/>
      </w:pPr>
      <w:r>
        <w:rPr>
          <w:rStyle w:val="Noklusjumarindkopasfonts"/>
          <w:b/>
          <w:sz w:val="24"/>
          <w:szCs w:val="24"/>
        </w:rPr>
        <w:t>Eiropas Savienības Jaunatnes stratēģija 2019.–2027.gadam</w:t>
      </w:r>
      <w:r>
        <w:rPr>
          <w:rStyle w:val="Noklusjumarindkopasfonts"/>
          <w:sz w:val="24"/>
          <w:szCs w:val="24"/>
        </w:rPr>
        <w:t>, kuras mērķis ir risināt esošās un turpmākās problēmas, ar ko saskaras jaunieši visā Eiropā, ir definētas trīs darbību jomas jaunatnes nozarē: iesai</w:t>
      </w:r>
      <w:r>
        <w:rPr>
          <w:rStyle w:val="Noklusjumarindkopasfonts"/>
          <w:sz w:val="24"/>
          <w:szCs w:val="24"/>
        </w:rPr>
        <w:t>stīšanās: jauniešu līdzdalības veicināšana demokrātiskajā dzīvē; saiknes veidošana: savstarpējo attiecību un pieredzes apmaiņu izmantošana darbā ar jaunatni, veidojot visiem jauniešiem pieejamas iespējas piedalīties pieredzes apmaiņas, sadarbības, kultūras</w:t>
      </w:r>
      <w:r>
        <w:rPr>
          <w:rStyle w:val="Noklusjumarindkopasfonts"/>
          <w:sz w:val="24"/>
          <w:szCs w:val="24"/>
        </w:rPr>
        <w:t xml:space="preserve"> un sabiedriskos pasākumos Eiropas mērogā; iespēju veicināšana: veicināt jauniešus uzņemties atbildību par savu dzīvi. Jaunatnes politikas izstrādē ņemti vērā arī vienpadsmit Eiropas Jaunatnes mērķi, uz kuriem balstīta ES Jaunatnes stratēģija 2019.-2027.ga</w:t>
      </w:r>
      <w:r>
        <w:rPr>
          <w:rStyle w:val="Noklusjumarindkopasfonts"/>
          <w:sz w:val="24"/>
          <w:szCs w:val="24"/>
        </w:rPr>
        <w:t>dam: ES savienošana ar jaunatni; visu dzimumu līdztiesība; iekļaujošas sabiedrības; informācija un konstruktīvs dialogs; garīgā veselība un labklājība; atbalsts lauku jaunatnei; kvalitatīva nodarbinātība visiem; kvalitatīva mācīšanās; telpa un līdzdalība v</w:t>
      </w:r>
      <w:r>
        <w:rPr>
          <w:rStyle w:val="Noklusjumarindkopasfonts"/>
          <w:sz w:val="24"/>
          <w:szCs w:val="24"/>
        </w:rPr>
        <w:t>isiem; ilgtspējīga un zaļa Eiropa; jaunatnes organizācijas un Eiropas programmas.</w:t>
      </w:r>
    </w:p>
    <w:p w14:paraId="49E5A35D" w14:textId="77777777" w:rsidR="00857646" w:rsidRDefault="00DF35D0">
      <w:pPr>
        <w:pStyle w:val="Sarakstarindkopa"/>
        <w:numPr>
          <w:ilvl w:val="0"/>
          <w:numId w:val="2"/>
        </w:numPr>
        <w:jc w:val="both"/>
      </w:pPr>
      <w:r>
        <w:rPr>
          <w:rStyle w:val="Noklusjumarindkopasfonts"/>
          <w:sz w:val="24"/>
          <w:szCs w:val="24"/>
        </w:rPr>
        <w:t>Ilgtermiņa konceptuālais dokuments "</w:t>
      </w:r>
      <w:r>
        <w:rPr>
          <w:rStyle w:val="Noklusjumarindkopasfonts"/>
          <w:b/>
          <w:sz w:val="24"/>
          <w:szCs w:val="24"/>
        </w:rPr>
        <w:t>Latvijas izaugsmes modelis: cilvēks pirmajā vietā</w:t>
      </w:r>
      <w:r>
        <w:rPr>
          <w:rStyle w:val="Noklusjumarindkopasfonts"/>
          <w:sz w:val="24"/>
          <w:szCs w:val="24"/>
        </w:rPr>
        <w:t>"</w:t>
      </w:r>
      <w:r>
        <w:t xml:space="preserve"> </w:t>
      </w:r>
      <w:r>
        <w:rPr>
          <w:rStyle w:val="Noklusjumarindkopasfonts"/>
          <w:sz w:val="24"/>
          <w:szCs w:val="24"/>
        </w:rPr>
        <w:t>nosaka uz cilvēku centrētu Latvijas izaugsmes modeli. Galvenais izaugsmes resurss ir ka</w:t>
      </w:r>
      <w:r>
        <w:rPr>
          <w:rStyle w:val="Noklusjumarindkopasfonts"/>
          <w:sz w:val="24"/>
          <w:szCs w:val="24"/>
        </w:rPr>
        <w:t>tra iedzīvotāja zināšanas un gudrība, to prasmīga izmantošana. Mērķis - ikviena cilvēka, tajā skaitā jaunieša, dažādu dzīves kvalitātes aspektu paaugstināšana, kas sasniedzams, aktīvi izmantojot iedzīvotāju uzkrāto zināšanu potenciālu.</w:t>
      </w:r>
    </w:p>
    <w:p w14:paraId="09B90A4B" w14:textId="77777777" w:rsidR="00857646" w:rsidRDefault="00DF35D0">
      <w:pPr>
        <w:pStyle w:val="Sarakstarindkopa"/>
        <w:numPr>
          <w:ilvl w:val="0"/>
          <w:numId w:val="2"/>
        </w:numPr>
        <w:jc w:val="both"/>
      </w:pPr>
      <w:r>
        <w:rPr>
          <w:rStyle w:val="Noklusjumarindkopasfonts"/>
          <w:b/>
          <w:sz w:val="24"/>
          <w:szCs w:val="24"/>
        </w:rPr>
        <w:t>Izglītības attīstība</w:t>
      </w:r>
      <w:r>
        <w:rPr>
          <w:rStyle w:val="Noklusjumarindkopasfonts"/>
          <w:b/>
          <w:sz w:val="24"/>
          <w:szCs w:val="24"/>
        </w:rPr>
        <w:t>s pamatnostādnes 2021.-2027.gadam. Nākotnes prasmes nākotnes sabiedrībai</w:t>
      </w:r>
      <w:r>
        <w:rPr>
          <w:rStyle w:val="Noklusjumarindkopasfonts"/>
          <w:sz w:val="24"/>
          <w:szCs w:val="24"/>
        </w:rPr>
        <w:t xml:space="preserve"> (</w:t>
      </w:r>
      <w:r>
        <w:rPr>
          <w:rStyle w:val="Noklusjumarindkopasfonts"/>
          <w:i/>
          <w:sz w:val="24"/>
          <w:szCs w:val="24"/>
        </w:rPr>
        <w:t>Ministru kabineta 2021.gada 22.jūnija rīkojums Nr.436</w:t>
      </w:r>
      <w:r>
        <w:rPr>
          <w:rStyle w:val="Noklusjumarindkopasfonts"/>
          <w:sz w:val="24"/>
          <w:szCs w:val="24"/>
        </w:rPr>
        <w:t>), kuras tostarp paredz tādus uzdevumus, lai sekmētu atbalstu speciālās izglītības mācību procesa īstenošanai, pietiekama pedagoģ</w:t>
      </w:r>
      <w:r>
        <w:rPr>
          <w:rStyle w:val="Noklusjumarindkopasfonts"/>
          <w:sz w:val="24"/>
          <w:szCs w:val="24"/>
        </w:rPr>
        <w:t>iskā un atbalsta personāla nodrošināšanu, agrīnu speciālo vajadzību diagnostiku, atbalsta pasākumus interešu izglītībai un ārpus formālās izglītības pasākumiem, speciālās izglītības iestāžu tīkla pilnveidi u.c. Pamatnostādnēs ietverti pasākumi, lai nodroši</w:t>
      </w:r>
      <w:r>
        <w:rPr>
          <w:rStyle w:val="Noklusjumarindkopasfonts"/>
          <w:sz w:val="24"/>
          <w:szCs w:val="24"/>
        </w:rPr>
        <w:t xml:space="preserve">nātu kvalitatīvas izglītības iespējas visiem Latvijas iedzīvotājiem, lai veicinātu viņu potenciāla attīstību un īstenošanu visa </w:t>
      </w:r>
      <w:r>
        <w:rPr>
          <w:rStyle w:val="Noklusjumarindkopasfonts"/>
          <w:sz w:val="24"/>
          <w:szCs w:val="24"/>
        </w:rPr>
        <w:lastRenderedPageBreak/>
        <w:t>mūža garumā un lai veidotu viņu spēju mainīties un atbildīgi vadīt pastāvīgās pārmaiņas sabiedrībā un tautsaimniecībā.</w:t>
      </w:r>
    </w:p>
    <w:p w14:paraId="1ACC9B1E" w14:textId="77777777" w:rsidR="00857646" w:rsidRDefault="00DF35D0">
      <w:pPr>
        <w:pStyle w:val="Sarakstarindkopa"/>
        <w:numPr>
          <w:ilvl w:val="0"/>
          <w:numId w:val="2"/>
        </w:numPr>
        <w:jc w:val="both"/>
      </w:pPr>
      <w:r>
        <w:rPr>
          <w:rStyle w:val="Noklusjumarindkopasfonts"/>
          <w:b/>
          <w:sz w:val="24"/>
          <w:szCs w:val="24"/>
        </w:rPr>
        <w:t>Kultūrpol</w:t>
      </w:r>
      <w:r>
        <w:rPr>
          <w:rStyle w:val="Noklusjumarindkopasfonts"/>
          <w:b/>
          <w:sz w:val="24"/>
          <w:szCs w:val="24"/>
        </w:rPr>
        <w:t>itikas pamatnostādnes 2021.-2027.gadam "Kultūrvalsts"</w:t>
      </w:r>
      <w:r>
        <w:rPr>
          <w:rStyle w:val="Noklusjumarindkopasfonts"/>
          <w:sz w:val="24"/>
          <w:szCs w:val="24"/>
        </w:rPr>
        <w:t xml:space="preserve"> (</w:t>
      </w:r>
      <w:r>
        <w:rPr>
          <w:rStyle w:val="Noklusjumarindkopasfonts"/>
          <w:i/>
          <w:sz w:val="24"/>
          <w:szCs w:val="24"/>
        </w:rPr>
        <w:t>Ministru kabineta 2022.gada 1.marta rīkojums Nr.143),</w:t>
      </w:r>
      <w:r>
        <w:rPr>
          <w:rStyle w:val="Noklusjumarindkopasfonts"/>
          <w:sz w:val="24"/>
          <w:szCs w:val="24"/>
        </w:rPr>
        <w:t xml:space="preserve"> kur par mērķi izvirzīta ilgtspējīga un sabiedrībai pieejama kultūra cilvēka izaugsmei un nacionālas valsts attīstībai, vienlaikus risinot kā kultūr</w:t>
      </w:r>
      <w:r>
        <w:rPr>
          <w:rStyle w:val="Noklusjumarindkopasfonts"/>
          <w:sz w:val="24"/>
          <w:szCs w:val="24"/>
        </w:rPr>
        <w:t>as pieejamības sabiedrībai jautājumus, tā kultūras ilgtspējas jautājumus, un apliecinot, ka kultūra ir būtisks resurss gan nacionālas valsts attīstībai, gan katra cilvēka personīgajai izaugsmei.</w:t>
      </w:r>
    </w:p>
    <w:p w14:paraId="36678665" w14:textId="77777777" w:rsidR="00857646" w:rsidRDefault="00DF35D0">
      <w:pPr>
        <w:pStyle w:val="Sarakstarindkopa"/>
        <w:numPr>
          <w:ilvl w:val="0"/>
          <w:numId w:val="2"/>
        </w:numPr>
        <w:jc w:val="both"/>
      </w:pPr>
      <w:r>
        <w:rPr>
          <w:rStyle w:val="Noklusjumarindkopasfonts"/>
          <w:b/>
          <w:sz w:val="24"/>
          <w:szCs w:val="24"/>
        </w:rPr>
        <w:t>Latvijas ilgtspējīgas attīstības stratēģija līdz 2030.gadam</w:t>
      </w:r>
      <w:r>
        <w:rPr>
          <w:rStyle w:val="Noklusjumarindkopasfonts"/>
          <w:sz w:val="24"/>
          <w:szCs w:val="24"/>
        </w:rPr>
        <w:t xml:space="preserve">, </w:t>
      </w:r>
      <w:r>
        <w:rPr>
          <w:rStyle w:val="Noklusjumarindkopasfonts"/>
          <w:sz w:val="24"/>
          <w:szCs w:val="24"/>
        </w:rPr>
        <w:t>kurā</w:t>
      </w:r>
      <w:r>
        <w:t xml:space="preserve"> </w:t>
      </w:r>
      <w:r>
        <w:rPr>
          <w:rStyle w:val="Noklusjumarindkopasfonts"/>
          <w:sz w:val="24"/>
          <w:szCs w:val="24"/>
        </w:rPr>
        <w:t>izdalītas četras jomas, kas veido pamatu Latvijas sabiedrības nākotnei: jaunrade, tolerance, sadarbība un līdzdalība. Jaunrade – spēja radīt jaunas idejas, rīcības formas vai arī sasaistīt esošās idejas, konceptus, metodes un rīcības jaunā veidā. Tole</w:t>
      </w:r>
      <w:r>
        <w:rPr>
          <w:rStyle w:val="Noklusjumarindkopasfonts"/>
          <w:sz w:val="24"/>
          <w:szCs w:val="24"/>
        </w:rPr>
        <w:t xml:space="preserve">rance – visu veidu sociālās atstumtības un diskriminācijas mazināšana, ieskaitot ienākumu nevienlīdzību, vecuma un dzimuma diskrimināciju darba tirgū, etniskos aizspriedumus un lingvistiskās institucionālās barjeras. Sadarbība – horizontālas un vertikālas </w:t>
      </w:r>
      <w:r>
        <w:rPr>
          <w:rStyle w:val="Noklusjumarindkopasfonts"/>
          <w:sz w:val="24"/>
          <w:szCs w:val="24"/>
        </w:rPr>
        <w:t>sadarbības veidošana starp institūcijām un iedzīvotājiem. Līdzdalība – ilgtspējīga attīstība pieprasa arī zināmu attieksmes un paradumu maiņu, kā arī sabiedrības aktīvu iesaisti.</w:t>
      </w:r>
    </w:p>
    <w:p w14:paraId="3C9BA8E2" w14:textId="77777777" w:rsidR="00857646" w:rsidRDefault="00DF35D0">
      <w:pPr>
        <w:pStyle w:val="Sarakstarindkopa"/>
        <w:numPr>
          <w:ilvl w:val="0"/>
          <w:numId w:val="2"/>
        </w:numPr>
        <w:jc w:val="both"/>
      </w:pPr>
      <w:r>
        <w:rPr>
          <w:rStyle w:val="Noklusjumarindkopasfonts"/>
          <w:b/>
          <w:sz w:val="24"/>
          <w:szCs w:val="24"/>
        </w:rPr>
        <w:t>Latvijas Nacionālais attīstības plāns 2021.-2027.gadam</w:t>
      </w:r>
      <w:r>
        <w:rPr>
          <w:rStyle w:val="Noklusjumarindkopasfonts"/>
          <w:sz w:val="24"/>
          <w:szCs w:val="24"/>
        </w:rPr>
        <w:t xml:space="preserve"> (</w:t>
      </w:r>
      <w:r>
        <w:rPr>
          <w:rStyle w:val="Noklusjumarindkopasfonts"/>
          <w:i/>
          <w:sz w:val="24"/>
          <w:szCs w:val="24"/>
        </w:rPr>
        <w:t>Saeimas paziņojums, a</w:t>
      </w:r>
      <w:r>
        <w:rPr>
          <w:rStyle w:val="Noklusjumarindkopasfonts"/>
          <w:i/>
          <w:sz w:val="24"/>
          <w:szCs w:val="24"/>
        </w:rPr>
        <w:t>pstiprināts Saeimas 2020.gada 2.jūlija sēdē</w:t>
      </w:r>
      <w:r>
        <w:rPr>
          <w:rStyle w:val="Noklusjumarindkopasfonts"/>
          <w:sz w:val="24"/>
          <w:szCs w:val="24"/>
        </w:rPr>
        <w:t>) prioritātes "Stipras ģimenes, veseli un aktīvi cilvēki" ietvaros noteiktajos rīcības virzienos "Uz cilvēku centrēta veselības aprūpe", "Stipras ģimenes paaudzēs", "Sociālā iekļaušana" paredz uzdevumus multidisci</w:t>
      </w:r>
      <w:r>
        <w:rPr>
          <w:rStyle w:val="Noklusjumarindkopasfonts"/>
          <w:sz w:val="24"/>
          <w:szCs w:val="24"/>
        </w:rPr>
        <w:t>plināru un starpnozaru sadarbībā balstītu pakalpojumu attīstībai, īpaši uzsverot jomas, kam ir būtiska ietekme uz ģimeņu atbalsta sistēmas pilnveidošanu un kvalitatīvu pamatvajadzību nodrošināšanu, individualizēta sociālā atbalsta nodrošināšanu, īpaši naba</w:t>
      </w:r>
      <w:r>
        <w:rPr>
          <w:rStyle w:val="Noklusjumarindkopasfonts"/>
          <w:sz w:val="24"/>
          <w:szCs w:val="24"/>
        </w:rPr>
        <w:t xml:space="preserve">dzības riskam visvairāk pakļautajām iedzīvotāju grupām. Rīcības virziens "Psiholoģiskā un emocionālā labklājība" paredz psihiskās un emocionālās veselības stiprināšanu sabiedrībā, īstenojot uz mērķa grupām orientētus profilakses pasākumus un </w:t>
      </w:r>
      <w:r>
        <w:rPr>
          <w:rStyle w:val="Noklusjumarindkopasfonts"/>
          <w:sz w:val="24"/>
          <w:szCs w:val="24"/>
        </w:rPr>
        <w:t>intervenci. Lai mērķtiecīgi uzlabotu bērnu un jauniešu psiholoģisko un emocionālo labklājību, novēršot iespējamo risku veidošanos nākotnē, paredzēts nostiprināt agrīna atbalsta pakalpojumu sistēmu vismazākajiem, kā arī bērniem un jauniešiem ar speciā</w:t>
      </w:r>
      <w:r>
        <w:rPr>
          <w:rStyle w:val="Noklusjumarindkopasfonts"/>
          <w:sz w:val="24"/>
          <w:szCs w:val="24"/>
        </w:rPr>
        <w:t>lām vajadzībām, sniegt atbalstu vecāku prasmju pilnveidošanai, kā arī ieviest risinājumus atkarību izraisošo vielu un procesu izplatības ierobežošanai un pārmērīga un kaitējoša patēriņa mazināšanai. Tāpat paredzēts attīstīt vardarbības profi</w:t>
      </w:r>
      <w:r>
        <w:rPr>
          <w:rStyle w:val="Noklusjumarindkopasfonts"/>
          <w:sz w:val="24"/>
          <w:szCs w:val="24"/>
        </w:rPr>
        <w:t xml:space="preserve">laksi, t.sk. mazinot mobingu jauniešu vidū, un savlaicīgu intervenci dažādās krīzes situācijās, stiprinot cilvēku psiholoģisko un emocionālo noturību un spēju rast labvēlīgu risinājumu. Šī rīcības virziena ietvaros arī paredzēta seksuālās un reproduktīvās </w:t>
      </w:r>
      <w:r>
        <w:rPr>
          <w:rStyle w:val="Noklusjumarindkopasfonts"/>
          <w:sz w:val="24"/>
          <w:szCs w:val="24"/>
        </w:rPr>
        <w:t>veselības stiprināšana sabiedrībā un infekciju slimību izplatības risku mazināšana, uzlabojot psiholoģisko un emocionālo veselību, kas ir ļoti aktuāli tieši jauniešu vecuma grupā. Rīcības virziens paredz arī ieviest izglītības iestādēs mediācijas programma</w:t>
      </w:r>
      <w:r>
        <w:rPr>
          <w:rStyle w:val="Noklusjumarindkopasfonts"/>
          <w:sz w:val="24"/>
          <w:szCs w:val="24"/>
        </w:rPr>
        <w:t>s kā preventīvu līdzekli konfliktu risināšanai bērnu un jauniešu vidū. Prioritātes "Kvalitatīva dzīves vide un teritoriju attīstība" ietvaros noteiktā rīcības virzienā "Mājoklis" noteikta mājokļa pieejamības uzlabošana grūtībās nonākušiem un nelabvēlīgā si</w:t>
      </w:r>
      <w:r>
        <w:rPr>
          <w:rStyle w:val="Noklusjumarindkopasfonts"/>
          <w:sz w:val="24"/>
          <w:szCs w:val="24"/>
        </w:rPr>
        <w:t>tuācijā esošiem iedzīvotājiem, sociālo mājokļu atjaunošanai. Prioritātes "Vienota, droša un atvērta sabiedrība" ietvaros noteiktā rīcības virzienā "Tiesiskums un pārvaldība" ir paredzēts uzdevums bērnu tiesību aizsardzības sistēmas pilnveidošanai. Tāpat ša</w:t>
      </w:r>
      <w:r>
        <w:rPr>
          <w:rStyle w:val="Noklusjumarindkopasfonts"/>
          <w:sz w:val="24"/>
          <w:szCs w:val="24"/>
        </w:rPr>
        <w:t>jā pašā rīcības virzienā ir paredzēts uzdevums īstenot mazaizsargāto un cietušo personu atbalsta un aizsardzības sistēmu,  ieviešot inovatīvus, uz rezultātu vērstus un ekonomiskus risinājumus visās pirmstiesas izmeklēšanas iestādēs, tiesās un ārpustiesas s</w:t>
      </w:r>
      <w:r>
        <w:rPr>
          <w:rStyle w:val="Noklusjumarindkopasfonts"/>
          <w:sz w:val="24"/>
          <w:szCs w:val="24"/>
        </w:rPr>
        <w:t>trīdu izskatīšanas institūcijās, tādejādi nodrošinot efektīvu, ērtu, savlaicīgu, sabiedrībai saprotamu un pieejamu tiesībaizsardzības sistēmu. Vienlaikus rīcības virziens "Saliedētība" ietver sabiedrības pašorganizēšanās, sadarbības un līdzdarbības prasmju</w:t>
      </w:r>
      <w:r>
        <w:rPr>
          <w:rStyle w:val="Noklusjumarindkopasfonts"/>
          <w:sz w:val="24"/>
          <w:szCs w:val="24"/>
        </w:rPr>
        <w:t xml:space="preserve"> un iespēju paplašināšanu, jo īpaši attīstot jauniešu pilsonisko izglītību, iedzīvotāju līdzdarbību nevalstiskajās organizācijās, arodbiedrībās </w:t>
      </w:r>
      <w:r>
        <w:rPr>
          <w:rStyle w:val="Noklusjumarindkopasfonts"/>
          <w:sz w:val="24"/>
          <w:szCs w:val="24"/>
        </w:rPr>
        <w:lastRenderedPageBreak/>
        <w:t>un brīvprātīgajā darbā. Prioritātes "Zināšanas un prasmes personības un valsts izaugsmei" rīcības virziens "Iekļ</w:t>
      </w:r>
      <w:r>
        <w:rPr>
          <w:rStyle w:val="Noklusjumarindkopasfonts"/>
          <w:sz w:val="24"/>
          <w:szCs w:val="24"/>
        </w:rPr>
        <w:t>aujoša izglītības vide" paredz sociālās atstumtības riskam pakļauto bērnu un jauniešu (sociāli ekonomiskie riski, speciālās vajadzības, nelabvēlīgā situācijā nonākuši jaunieši, u.c. priekšlaicīgas mācību pamešanas riski) iesaistīšanu ārpus formālās izglītī</w:t>
      </w:r>
      <w:r>
        <w:rPr>
          <w:rStyle w:val="Noklusjumarindkopasfonts"/>
          <w:sz w:val="24"/>
          <w:szCs w:val="24"/>
        </w:rPr>
        <w:t>bas (t.sk. interešu izglītības) pasākumos (t.sk. skolas vidē – kā vispārējā, tā profesionālajā izglītībā) un preventīvus un pastāvīgus pasākumus visu veidu vardarbības mazināšanai izglītības iestādēs, kā arī atbalsta pasākumus bērniem un jauniešiem, pedago</w:t>
      </w:r>
      <w:r>
        <w:rPr>
          <w:rStyle w:val="Noklusjumarindkopasfonts"/>
          <w:sz w:val="24"/>
          <w:szCs w:val="24"/>
        </w:rPr>
        <w:t>giem, skolas personālam un ģimenēm.</w:t>
      </w:r>
    </w:p>
    <w:p w14:paraId="3AAAB7ED" w14:textId="77777777" w:rsidR="00857646" w:rsidRDefault="00DF35D0">
      <w:pPr>
        <w:pStyle w:val="Sarakstarindkopa"/>
        <w:numPr>
          <w:ilvl w:val="0"/>
          <w:numId w:val="2"/>
        </w:numPr>
        <w:jc w:val="both"/>
      </w:pPr>
      <w:r>
        <w:rPr>
          <w:rStyle w:val="Noklusjumarindkopasfonts"/>
          <w:b/>
          <w:sz w:val="24"/>
          <w:szCs w:val="24"/>
        </w:rPr>
        <w:t>Reģionālās attīstības pamatnostādnes 2021.-2027.gadam</w:t>
      </w:r>
      <w:r>
        <w:rPr>
          <w:rStyle w:val="Noklusjumarindkopasfonts"/>
          <w:sz w:val="24"/>
          <w:szCs w:val="24"/>
        </w:rPr>
        <w:t xml:space="preserve"> (</w:t>
      </w:r>
      <w:r>
        <w:rPr>
          <w:rStyle w:val="Noklusjumarindkopasfonts"/>
          <w:i/>
          <w:sz w:val="24"/>
          <w:szCs w:val="24"/>
        </w:rPr>
        <w:t>Ministru kabineta 2019.gada 26.novembra rīkojums Nr.587</w:t>
      </w:r>
      <w:r>
        <w:rPr>
          <w:rStyle w:val="Noklusjumarindkopasfonts"/>
          <w:sz w:val="24"/>
          <w:szCs w:val="24"/>
        </w:rPr>
        <w:t>) cita starpā paredz uzdevumus cilvēkresursu piesaistei un nodarbinātības veicināšanai reģionos, valsts un paš</w:t>
      </w:r>
      <w:r>
        <w:rPr>
          <w:rStyle w:val="Noklusjumarindkopasfonts"/>
          <w:sz w:val="24"/>
          <w:szCs w:val="24"/>
        </w:rPr>
        <w:t>valdību sniegto pakalpojumu nodrošināšanai reģionos atbilstoši demogrāfiskajiem izaicinājumiem.</w:t>
      </w:r>
    </w:p>
    <w:p w14:paraId="425EC010" w14:textId="77777777" w:rsidR="00857646" w:rsidRDefault="00DF35D0">
      <w:pPr>
        <w:pStyle w:val="Sarakstarindkopa"/>
        <w:numPr>
          <w:ilvl w:val="0"/>
          <w:numId w:val="2"/>
        </w:numPr>
        <w:jc w:val="both"/>
      </w:pPr>
      <w:r>
        <w:rPr>
          <w:rStyle w:val="Noklusjumarindkopasfonts"/>
          <w:b/>
          <w:sz w:val="24"/>
          <w:szCs w:val="24"/>
        </w:rPr>
        <w:t>Resocializācijas politikas pamatnostādnes 2022.-2027.gadam</w:t>
      </w:r>
      <w:r>
        <w:rPr>
          <w:rStyle w:val="Noklusjumarindkopasfonts"/>
          <w:sz w:val="24"/>
          <w:szCs w:val="24"/>
        </w:rPr>
        <w:t xml:space="preserve"> (</w:t>
      </w:r>
      <w:r>
        <w:rPr>
          <w:rStyle w:val="Noklusjumarindkopasfonts"/>
          <w:i/>
          <w:sz w:val="24"/>
          <w:szCs w:val="24"/>
        </w:rPr>
        <w:t>Ministru kabineta 2022.gada 13.jūnija rīkojums Nr.413</w:t>
      </w:r>
      <w:r>
        <w:rPr>
          <w:rStyle w:val="Noklusjumarindkopasfonts"/>
          <w:sz w:val="24"/>
          <w:szCs w:val="24"/>
        </w:rPr>
        <w:t>). Resocializācijas politikas mērķis ir mazināt</w:t>
      </w:r>
      <w:r>
        <w:rPr>
          <w:rStyle w:val="Noklusjumarindkopasfonts"/>
          <w:sz w:val="24"/>
          <w:szCs w:val="24"/>
        </w:rPr>
        <w:t xml:space="preserve"> noziedzīgās uzvedības riskus ieslodzītajiem un probācijas klientiem (t.sk. nepilngadīgas personas) (mērķa grupa) soda izpildes laikā, tādējādi radot priekšnoteikumus personas veiksmīgai iekļaušanai sabiedrībā pēc soda izpildes beigām, t.sk. aktīvai līdzda</w:t>
      </w:r>
      <w:r>
        <w:rPr>
          <w:rStyle w:val="Noklusjumarindkopasfonts"/>
          <w:sz w:val="24"/>
          <w:szCs w:val="24"/>
        </w:rPr>
        <w:t>lībai sabiedrības procesos (arī nodarbinātības jomā). Tādejādi Resocializācijas politikas pamatnostādnes paredz specifiskus atbalsta pasākumus, kuri ir saistīti ar noziedzīga nodarījuma izdarīšanai sekojošas notiesāšanas izpildes seku mazināšanu konkrētaja</w:t>
      </w:r>
      <w:r>
        <w:rPr>
          <w:rStyle w:val="Noklusjumarindkopasfonts"/>
          <w:sz w:val="24"/>
          <w:szCs w:val="24"/>
        </w:rPr>
        <w:t>i mērķa grupai.</w:t>
      </w:r>
    </w:p>
    <w:p w14:paraId="47FAEBCC" w14:textId="77777777" w:rsidR="00857646" w:rsidRDefault="00DF35D0">
      <w:pPr>
        <w:pStyle w:val="Sarakstarindkopa"/>
        <w:numPr>
          <w:ilvl w:val="0"/>
          <w:numId w:val="2"/>
        </w:numPr>
        <w:jc w:val="both"/>
      </w:pPr>
      <w:r>
        <w:rPr>
          <w:rStyle w:val="Noklusjumarindkopasfonts"/>
          <w:b/>
          <w:sz w:val="24"/>
          <w:szCs w:val="24"/>
        </w:rPr>
        <w:t>"Sabiedrības veselības pamatnostādnes 2021.-2027.gadam"</w:t>
      </w:r>
      <w:r>
        <w:rPr>
          <w:rStyle w:val="Noklusjumarindkopasfonts"/>
          <w:sz w:val="24"/>
          <w:szCs w:val="24"/>
        </w:rPr>
        <w:t xml:space="preserve"> (</w:t>
      </w:r>
      <w:r>
        <w:rPr>
          <w:rStyle w:val="Noklusjumarindkopasfonts"/>
          <w:i/>
          <w:sz w:val="24"/>
          <w:szCs w:val="24"/>
        </w:rPr>
        <w:t>Ministru kabineta 2022.gada 26.maija rīkojums Nr.359</w:t>
      </w:r>
      <w:r>
        <w:rPr>
          <w:rStyle w:val="Noklusjumarindkopasfonts"/>
          <w:sz w:val="24"/>
          <w:szCs w:val="24"/>
        </w:rPr>
        <w:t>) paredz virkni mērķētus pasākumus veselības veicināšanai un slimību profilaksei, pasākumus nevienlīdzības veselības aprūpē mazināš</w:t>
      </w:r>
      <w:r>
        <w:rPr>
          <w:rStyle w:val="Noklusjumarindkopasfonts"/>
          <w:sz w:val="24"/>
          <w:szCs w:val="24"/>
        </w:rPr>
        <w:t>anai un veselības aprūpes pakalpojumu pieejamības palielināšanai, tai skaitā, dažādām nabadzības un/vai sociālās atstumtības riskam pakļautajām iedzīvotāju grupām vai citās riska situācijās esošiem iedzīvotājiem (piemēram, izglītojoši un informatīvi pasāku</w:t>
      </w:r>
      <w:r>
        <w:rPr>
          <w:rStyle w:val="Noklusjumarindkopasfonts"/>
          <w:sz w:val="24"/>
          <w:szCs w:val="24"/>
        </w:rPr>
        <w:t xml:space="preserve">mi par seksuālās un reproduktīvās veselības jautājumiem, aizspriedumu mazināšanai pret personām ar psihiskiem veselības traucējumiem u.c.; atbalsta pasākumi personām, kuras cieš no atkarībām, kā arī atkarības personas ģimenes locekļiem; pasākumi veselīgas </w:t>
      </w:r>
      <w:r>
        <w:rPr>
          <w:rStyle w:val="Noklusjumarindkopasfonts"/>
          <w:sz w:val="24"/>
          <w:szCs w:val="24"/>
        </w:rPr>
        <w:t>un drošas dzīves un darba vides veicināšanai; iedzīvotāju finansiālās aizsardzības uzlabošana slimības un nespējas gadījumos, tai skaitā palielinot valsts apmaksāto veselības aprūpes pakalpojumu, zāļu un medicīnas ierīču pieejamību). Cita starpā pamatnostā</w:t>
      </w:r>
      <w:r>
        <w:rPr>
          <w:rStyle w:val="Noklusjumarindkopasfonts"/>
          <w:sz w:val="24"/>
          <w:szCs w:val="24"/>
        </w:rPr>
        <w:t xml:space="preserve">dnēs paredzēti izglītojoši un informatīvi pasākumi par dažādiem sabiedrības veselības jomas jautājumiem, tai skaitā, aprūpes centru darbiniekiem, pašvaldību darbiniekiem, arodārstiem, kā arī starpinstitūciju sadarbības pilnveidošana. Pamatnostādnes iezīmē </w:t>
      </w:r>
      <w:r>
        <w:rPr>
          <w:rStyle w:val="Noklusjumarindkopasfonts"/>
          <w:sz w:val="24"/>
          <w:szCs w:val="24"/>
        </w:rPr>
        <w:t>pasākumus veselības aprūpes pakalpojumu pilnveidošanai, tostarp pilnveidot un attīstīt medicīniskās rehabilitācijas pakalpojumus bērniem, t.sk., dinamisko novērošanu un nodrošināt bērnu ar invaliditāti pēctecīgu pāreju pieaugušo veselības aprūpes sistēmā u</w:t>
      </w:r>
      <w:r>
        <w:rPr>
          <w:rStyle w:val="Noklusjumarindkopasfonts"/>
          <w:sz w:val="24"/>
          <w:szCs w:val="24"/>
        </w:rPr>
        <w:t>.c.".</w:t>
      </w:r>
    </w:p>
    <w:p w14:paraId="0034BD9E" w14:textId="77777777" w:rsidR="00857646" w:rsidRDefault="00DF35D0">
      <w:pPr>
        <w:pStyle w:val="Sarakstarindkopa"/>
        <w:numPr>
          <w:ilvl w:val="0"/>
          <w:numId w:val="2"/>
        </w:numPr>
        <w:jc w:val="both"/>
      </w:pPr>
      <w:r>
        <w:rPr>
          <w:rStyle w:val="Noklusjumarindkopasfonts"/>
          <w:sz w:val="24"/>
          <w:szCs w:val="24"/>
        </w:rPr>
        <w:t xml:space="preserve"> </w:t>
      </w:r>
      <w:r>
        <w:rPr>
          <w:rStyle w:val="Noklusjumarindkopasfonts"/>
          <w:b/>
          <w:sz w:val="24"/>
          <w:szCs w:val="24"/>
        </w:rPr>
        <w:t>"Sporta politikas pamatnostādnes 2022.-2027.gadam"</w:t>
      </w:r>
      <w:r>
        <w:rPr>
          <w:rStyle w:val="Noklusjumarindkopasfonts"/>
          <w:sz w:val="24"/>
          <w:szCs w:val="24"/>
        </w:rPr>
        <w:t xml:space="preserve"> (</w:t>
      </w:r>
      <w:r>
        <w:rPr>
          <w:rStyle w:val="Noklusjumarindkopasfonts"/>
          <w:i/>
          <w:sz w:val="24"/>
          <w:szCs w:val="24"/>
        </w:rPr>
        <w:t xml:space="preserve">Ministru kabineta 2022.gada 31.maija rīkojums Nr.397), </w:t>
      </w:r>
      <w:r>
        <w:rPr>
          <w:rStyle w:val="Noklusjumarindkopasfonts"/>
          <w:sz w:val="24"/>
          <w:szCs w:val="24"/>
        </w:rPr>
        <w:t xml:space="preserve">kuru mērķis ir veicināt iedzīvotāju regulāru iesaisti sporta aktivitātēs, attīstīt talantus un radīt priekšnoteikumus izcilu rezultātu </w:t>
      </w:r>
      <w:r>
        <w:rPr>
          <w:rStyle w:val="Noklusjumarindkopasfonts"/>
          <w:sz w:val="24"/>
          <w:szCs w:val="24"/>
        </w:rPr>
        <w:t>sasniegšanai sportā. Kā viena no mērķa grupām ir noteikta personas ar funkcionāliem traucējumiem – iedzīvotāju daļa, kurām ir ilgstoši fiziski, garīgi, intelektuāli vai maņu traucējumi un kurām var būt noteikta invaliditāte.</w:t>
      </w:r>
    </w:p>
    <w:p w14:paraId="025AF4F9" w14:textId="77777777" w:rsidR="00857646" w:rsidRDefault="00DF35D0">
      <w:pPr>
        <w:pStyle w:val="Sarakstarindkopa"/>
        <w:numPr>
          <w:ilvl w:val="0"/>
          <w:numId w:val="2"/>
        </w:numPr>
        <w:jc w:val="both"/>
      </w:pPr>
      <w:r>
        <w:rPr>
          <w:rStyle w:val="Noklusjumarindkopasfonts"/>
          <w:sz w:val="24"/>
          <w:szCs w:val="24"/>
        </w:rPr>
        <w:t xml:space="preserve"> </w:t>
      </w:r>
      <w:r>
        <w:rPr>
          <w:rStyle w:val="Noklusjumarindkopasfonts"/>
          <w:b/>
          <w:sz w:val="24"/>
          <w:szCs w:val="24"/>
        </w:rPr>
        <w:t>"Sociālo pakalpojumu pilnveido</w:t>
      </w:r>
      <w:r>
        <w:rPr>
          <w:rStyle w:val="Noklusjumarindkopasfonts"/>
          <w:b/>
          <w:sz w:val="24"/>
          <w:szCs w:val="24"/>
        </w:rPr>
        <w:t>šanas un attīstības plāns 2022.–2024.gadam"</w:t>
      </w:r>
      <w:r>
        <w:rPr>
          <w:rStyle w:val="Noklusjumarindkopasfonts"/>
          <w:sz w:val="24"/>
          <w:szCs w:val="24"/>
        </w:rPr>
        <w:t xml:space="preserve"> (</w:t>
      </w:r>
      <w:r>
        <w:rPr>
          <w:rStyle w:val="Noklusjumarindkopasfonts"/>
          <w:i/>
          <w:sz w:val="24"/>
          <w:szCs w:val="24"/>
        </w:rPr>
        <w:t>Ministru kabineta 2022.gada 30.marta rīkojums Nr.231</w:t>
      </w:r>
      <w:r>
        <w:rPr>
          <w:rStyle w:val="Noklusjumarindkopasfonts"/>
          <w:sz w:val="24"/>
          <w:szCs w:val="24"/>
        </w:rPr>
        <w:t>), kurā uzsvars tiek likts uz sabiedrībā balstītu pakalpojumu pieejamības attīstību, turpinot un pilnveidojot DI ietvaros īstenojamo pasākumu nodrošināšanu, te</w:t>
      </w:r>
      <w:r>
        <w:rPr>
          <w:rStyle w:val="Noklusjumarindkopasfonts"/>
          <w:sz w:val="24"/>
          <w:szCs w:val="24"/>
        </w:rPr>
        <w:t>hnisko palīglīdzekļu pieejamības pilnveidošanu u.c. būtiskus pasākumus, kas tostarp ir  vērsti uz personu ar invaliditāti (tostarp bērnu) iekļaušanu sabiedrībā.</w:t>
      </w:r>
    </w:p>
    <w:p w14:paraId="7674AC21" w14:textId="77777777" w:rsidR="00857646" w:rsidRDefault="00DF35D0">
      <w:pPr>
        <w:pStyle w:val="Sarakstarindkopa"/>
        <w:numPr>
          <w:ilvl w:val="0"/>
          <w:numId w:val="2"/>
        </w:numPr>
        <w:jc w:val="both"/>
      </w:pPr>
      <w:r>
        <w:rPr>
          <w:rStyle w:val="Noklusjumarindkopasfonts"/>
          <w:b/>
          <w:sz w:val="24"/>
          <w:szCs w:val="24"/>
        </w:rPr>
        <w:lastRenderedPageBreak/>
        <w:t>Plāns personu ar invaliditāti vienlīdzīgu iespēju veicināšanai 2021.-2023.gadam</w:t>
      </w:r>
      <w:r>
        <w:rPr>
          <w:rStyle w:val="Noklusjumarindkopasfonts"/>
          <w:sz w:val="24"/>
          <w:szCs w:val="24"/>
        </w:rPr>
        <w:t xml:space="preserve"> (</w:t>
      </w:r>
      <w:r>
        <w:rPr>
          <w:rStyle w:val="Noklusjumarindkopasfonts"/>
          <w:i/>
          <w:sz w:val="24"/>
          <w:szCs w:val="24"/>
        </w:rPr>
        <w:t>Ministru kabin</w:t>
      </w:r>
      <w:r>
        <w:rPr>
          <w:rStyle w:val="Noklusjumarindkopasfonts"/>
          <w:i/>
          <w:sz w:val="24"/>
          <w:szCs w:val="24"/>
        </w:rPr>
        <w:t>eta 2021.gada 17.augusta rīkojums Nr.577</w:t>
      </w:r>
      <w:r>
        <w:rPr>
          <w:rStyle w:val="Noklusjumarindkopasfonts"/>
          <w:sz w:val="24"/>
          <w:szCs w:val="24"/>
        </w:rPr>
        <w:t>), kurā ir paredzēts pasākumu kopums starpnozaru līmenī ar mērķi  sekmēt integrētas un personu ar invaliditāti vajadzībām atbilstošas atbalsta sistēmas attīstību. Mērķa sasniegšanai Plāns paredz kompleksu pasākumu ko</w:t>
      </w:r>
      <w:r>
        <w:rPr>
          <w:rStyle w:val="Noklusjumarindkopasfonts"/>
          <w:sz w:val="24"/>
          <w:szCs w:val="24"/>
        </w:rPr>
        <w:t>pumu starpnozaru līmenī, tostarp invaliditātes noteikšanas sistēmas pilnveidošanu, pasākumus personu ar invaliditāti nodarbinātības veicināšanai, invaliditātes seku mazināšanai, vides un pakalpojumu piekļūstamības veicināšanai un sabiedrībā valdošo stereot</w:t>
      </w:r>
      <w:r>
        <w:rPr>
          <w:rStyle w:val="Noklusjumarindkopasfonts"/>
          <w:sz w:val="24"/>
          <w:szCs w:val="24"/>
        </w:rPr>
        <w:t>ipu par personām ar invaliditāti mazināšanai. Tādējādi Plānā ietvertie pasākumi ir tieši mērķēti uz bērnu ar invaliditāti vienlīdzīgu iespēju stiprināšanu un labāko interešu nodrošināšanu, gan pārskatot invaliditātes noteikšanas kritērijus un sniegtā atbal</w:t>
      </w:r>
      <w:r>
        <w:rPr>
          <w:rStyle w:val="Noklusjumarindkopasfonts"/>
          <w:sz w:val="24"/>
          <w:szCs w:val="24"/>
        </w:rPr>
        <w:t>sta pietiekamību un mērķētību, gan veicinot sabiedrībā balstītu sociālo pakalpojumu pieejamību, gan paredzot pasākumus iekļaujošas izglītības stiprināšanai, gan pilnveidojot preču un pakalpojumu pieejamības iespējas, gan mazinot sabiedrībā valdošos stereot</w:t>
      </w:r>
      <w:r>
        <w:rPr>
          <w:rStyle w:val="Noklusjumarindkopasfonts"/>
          <w:sz w:val="24"/>
          <w:szCs w:val="24"/>
        </w:rPr>
        <w:t xml:space="preserve">ipus par invaliditātes jautājumiem.  </w:t>
      </w:r>
    </w:p>
    <w:p w14:paraId="74FC54A0" w14:textId="77777777" w:rsidR="00857646" w:rsidRDefault="00DF35D0">
      <w:pPr>
        <w:pStyle w:val="Sarakstarindkopa"/>
        <w:numPr>
          <w:ilvl w:val="0"/>
          <w:numId w:val="2"/>
        </w:numPr>
        <w:jc w:val="both"/>
      </w:pPr>
      <w:r>
        <w:rPr>
          <w:rStyle w:val="Noklusjumarindkopasfonts"/>
          <w:b/>
          <w:sz w:val="24"/>
          <w:szCs w:val="24"/>
        </w:rPr>
        <w:t>Plāns sieviešu un vīriešu vienlīdzīgu tiesību un iespēju veicināšanai 2021.-2023.gadam</w:t>
      </w:r>
      <w:r>
        <w:t xml:space="preserve"> (</w:t>
      </w:r>
      <w:r>
        <w:rPr>
          <w:rStyle w:val="Noklusjumarindkopasfonts"/>
          <w:i/>
          <w:sz w:val="24"/>
          <w:szCs w:val="24"/>
        </w:rPr>
        <w:t>Ministru kabineta 2021.gada 17.augusta rīkojums Nr.578</w:t>
      </w:r>
      <w:r>
        <w:rPr>
          <w:rStyle w:val="Noklusjumarindkopasfonts"/>
          <w:sz w:val="24"/>
          <w:szCs w:val="24"/>
        </w:rPr>
        <w:t>), kura</w:t>
      </w:r>
      <w:r>
        <w:t xml:space="preserve"> </w:t>
      </w:r>
      <w:r>
        <w:rPr>
          <w:rStyle w:val="Noklusjumarindkopasfonts"/>
          <w:sz w:val="24"/>
          <w:szCs w:val="24"/>
        </w:rPr>
        <w:t>mērķis ir nodrošināt integrētu, mērķtiecīgu un efektīvu politiku, ka</w:t>
      </w:r>
      <w:r>
        <w:rPr>
          <w:rStyle w:val="Noklusjumarindkopasfonts"/>
          <w:sz w:val="24"/>
          <w:szCs w:val="24"/>
        </w:rPr>
        <w:t>s sekmē sieviešu un vīriešu vienlīdzīgu tiesību un iespēju īstenošanu. Mērķa sasniegšanai tiek izvirzīti trīs rīcības virzieni: (1) sieviešu un vīriešu vienlīdzīgas tiesības un iespējas darba tirgū un izglītībā; (2) vardarbības ģimenē un ar dzimumu saistīt</w:t>
      </w:r>
      <w:r>
        <w:rPr>
          <w:rStyle w:val="Noklusjumarindkopasfonts"/>
          <w:sz w:val="24"/>
          <w:szCs w:val="24"/>
        </w:rPr>
        <w:t>as vardarbības novēršana; (3) dzimumu līdztiesības integrētās pieejas stiprināšana nozaru politikās.</w:t>
      </w:r>
    </w:p>
    <w:p w14:paraId="0F4778A3" w14:textId="77777777" w:rsidR="00857646" w:rsidRDefault="00DF35D0">
      <w:pPr>
        <w:pStyle w:val="Sarakstarindkopa"/>
        <w:numPr>
          <w:ilvl w:val="0"/>
          <w:numId w:val="2"/>
        </w:numPr>
        <w:jc w:val="both"/>
      </w:pPr>
      <w:r>
        <w:rPr>
          <w:rStyle w:val="Noklusjumarindkopasfonts"/>
          <w:sz w:val="24"/>
          <w:szCs w:val="24"/>
        </w:rPr>
        <w:t>Plāna projekts</w:t>
      </w:r>
      <w:r>
        <w:rPr>
          <w:rStyle w:val="Noklusjumarindkopasfonts"/>
          <w:b/>
          <w:sz w:val="24"/>
          <w:szCs w:val="24"/>
        </w:rPr>
        <w:t xml:space="preserve"> "Bērnu noziedzības novēršanas un bērnu aizsardzības pret noziedzīgu nodarījumu plāns 2022.-2024.gadam" </w:t>
      </w:r>
      <w:r>
        <w:rPr>
          <w:rStyle w:val="Noklusjumarindkopasfonts"/>
          <w:sz w:val="24"/>
          <w:szCs w:val="24"/>
        </w:rPr>
        <w:t>(izstrādes stadijā).</w:t>
      </w:r>
    </w:p>
    <w:p w14:paraId="43EBB817" w14:textId="77777777" w:rsidR="00857646" w:rsidRDefault="00DF35D0">
      <w:pPr>
        <w:pStyle w:val="Sarakstarindkopa"/>
        <w:numPr>
          <w:ilvl w:val="0"/>
          <w:numId w:val="2"/>
        </w:numPr>
        <w:jc w:val="both"/>
      </w:pPr>
      <w:r>
        <w:rPr>
          <w:rStyle w:val="Noklusjumarindkopasfonts"/>
          <w:b/>
          <w:sz w:val="24"/>
          <w:szCs w:val="24"/>
        </w:rPr>
        <w:t xml:space="preserve">Plāns </w:t>
      </w:r>
      <w:r>
        <w:rPr>
          <w:rStyle w:val="Noklusjumarindkopasfonts"/>
          <w:b/>
          <w:sz w:val="24"/>
          <w:szCs w:val="24"/>
        </w:rPr>
        <w:t>darbam ar diasporu 2021.-2023.gadam</w:t>
      </w:r>
      <w:r>
        <w:rPr>
          <w:rStyle w:val="Noklusjumarindkopasfonts"/>
          <w:sz w:val="24"/>
          <w:szCs w:val="24"/>
        </w:rPr>
        <w:t xml:space="preserve"> (</w:t>
      </w:r>
      <w:r>
        <w:rPr>
          <w:rStyle w:val="Noklusjumarindkopasfonts"/>
          <w:i/>
          <w:sz w:val="24"/>
          <w:szCs w:val="24"/>
        </w:rPr>
        <w:t>Ministru kabineta 2021.gada 19.janvāra rīkojums Nr.33</w:t>
      </w:r>
      <w:r>
        <w:rPr>
          <w:rStyle w:val="Noklusjumarindkopasfonts"/>
          <w:sz w:val="24"/>
          <w:szCs w:val="24"/>
        </w:rPr>
        <w:t>).</w:t>
      </w:r>
      <w:r>
        <w:t xml:space="preserve"> </w:t>
      </w:r>
      <w:r>
        <w:rPr>
          <w:rStyle w:val="Noklusjumarindkopasfonts"/>
          <w:sz w:val="24"/>
          <w:szCs w:val="24"/>
        </w:rPr>
        <w:t xml:space="preserve">Plāna mērķis ir veicināt vienotu pieeju diasporas politikas īstenošanā, nosakot Latvijas valsts pārvaldes iestāžu īstenotās politikas prioritārās jomas, mērķus un </w:t>
      </w:r>
      <w:r>
        <w:rPr>
          <w:rStyle w:val="Noklusjumarindkopasfonts"/>
          <w:sz w:val="24"/>
          <w:szCs w:val="24"/>
        </w:rPr>
        <w:t>sasniedzamos rezultātus.</w:t>
      </w:r>
    </w:p>
    <w:p w14:paraId="45023102" w14:textId="77777777" w:rsidR="00857646" w:rsidRDefault="00DF35D0">
      <w:pPr>
        <w:pStyle w:val="Sarakstarindkopa"/>
        <w:numPr>
          <w:ilvl w:val="0"/>
          <w:numId w:val="2"/>
        </w:numPr>
        <w:jc w:val="both"/>
      </w:pPr>
      <w:r>
        <w:rPr>
          <w:rStyle w:val="Noklusjumarindkopasfonts"/>
          <w:b/>
          <w:sz w:val="24"/>
          <w:szCs w:val="24"/>
        </w:rPr>
        <w:t xml:space="preserve">Saliedētas un pilsoniski aktīvas sabiedrības attīstības pamatnostādnes 2021.-2027.gadam </w:t>
      </w:r>
      <w:r>
        <w:rPr>
          <w:rStyle w:val="Noklusjumarindkopasfonts"/>
          <w:sz w:val="24"/>
          <w:szCs w:val="24"/>
        </w:rPr>
        <w:t>(</w:t>
      </w:r>
      <w:r>
        <w:rPr>
          <w:rStyle w:val="Noklusjumarindkopasfonts"/>
          <w:i/>
          <w:sz w:val="24"/>
          <w:szCs w:val="24"/>
        </w:rPr>
        <w:t>Ministru kabineta 2021.gada 5.februāra rīkojums Nr.72</w:t>
      </w:r>
      <w:r>
        <w:rPr>
          <w:rStyle w:val="Noklusjumarindkopasfonts"/>
          <w:sz w:val="24"/>
          <w:szCs w:val="24"/>
        </w:rPr>
        <w:t>) paredz, tostarp, sekmēt iedzīvotāju izpratni par sabiedrības daudzveidību, mazinot nega</w:t>
      </w:r>
      <w:r>
        <w:rPr>
          <w:rStyle w:val="Noklusjumarindkopasfonts"/>
          <w:sz w:val="24"/>
          <w:szCs w:val="24"/>
        </w:rPr>
        <w:t>tīvos stereotipos balstītu attieksmi pret dažādām sabiedrības grupām, t.sk. personām ar funkcionēšanas ierobežojumiem. Pamatnostādnes ietver pasākumus, kuru ietvaros plānots veicināt iedzīvotāju demokrātijas prasmju un zināšanu apguvi; stiprināt pilsoniskā</w:t>
      </w:r>
      <w:r>
        <w:rPr>
          <w:rStyle w:val="Noklusjumarindkopasfonts"/>
          <w:sz w:val="24"/>
          <w:szCs w:val="24"/>
        </w:rPr>
        <w:t>s sabiedrības attīstību un ilgtspēju, veidojot pilsonisku kultūru un attīstot iekļaujošu pilsoniskumu; veidot kvalitatīvu, drošu un iekļaujošu demokrātiskās līdzdalības un informācijas telpu; sekmēt iedzīvotāju izpratni par sabiedrības daudzveidību, mazino</w:t>
      </w:r>
      <w:r>
        <w:rPr>
          <w:rStyle w:val="Noklusjumarindkopasfonts"/>
          <w:sz w:val="24"/>
          <w:szCs w:val="24"/>
        </w:rPr>
        <w:t>t negatīvos stereotipos balstītu attieksmi pret dažādām sabiedrības grupām.</w:t>
      </w:r>
    </w:p>
    <w:p w14:paraId="001EEDBA" w14:textId="77777777" w:rsidR="00857646" w:rsidRDefault="00DF35D0">
      <w:pPr>
        <w:pStyle w:val="Sarakstarindkopa"/>
        <w:numPr>
          <w:ilvl w:val="0"/>
          <w:numId w:val="2"/>
        </w:numPr>
        <w:jc w:val="both"/>
      </w:pPr>
      <w:r>
        <w:rPr>
          <w:rStyle w:val="Noklusjumarindkopasfonts"/>
          <w:b/>
          <w:sz w:val="24"/>
          <w:szCs w:val="24"/>
        </w:rPr>
        <w:t>Sociālās aizsardzības un darba tirgus politikas pamatnostādnes 2021.-2027.gadam</w:t>
      </w:r>
      <w:r>
        <w:rPr>
          <w:rStyle w:val="Noklusjumarindkopasfonts"/>
          <w:sz w:val="24"/>
          <w:szCs w:val="24"/>
        </w:rPr>
        <w:t xml:space="preserve"> (</w:t>
      </w:r>
      <w:r>
        <w:rPr>
          <w:rStyle w:val="Noklusjumarindkopasfonts"/>
          <w:i/>
          <w:sz w:val="24"/>
          <w:szCs w:val="24"/>
        </w:rPr>
        <w:t>Ministru kabineta 2021.gada 1.septembra rīkojums Nr.616</w:t>
      </w:r>
      <w:r>
        <w:rPr>
          <w:rStyle w:val="Noklusjumarindkopasfonts"/>
          <w:sz w:val="24"/>
          <w:szCs w:val="24"/>
        </w:rPr>
        <w:t>), kuru mērķis ir sekmēt iedzīvotāju sociālo</w:t>
      </w:r>
      <w:r>
        <w:rPr>
          <w:rStyle w:val="Noklusjumarindkopasfonts"/>
          <w:sz w:val="24"/>
          <w:szCs w:val="24"/>
        </w:rPr>
        <w:t xml:space="preserve"> iekļaušanu, mazinot ienākumu nevienlīdzību un nabadzību, attīstot pieejamu un individuālajām vajadzībām atbilstošu sociālo pakalpojumu un juridiskā atbalsta sistēmu, kā arī veicinot augstu nodarbinātības līmeni kvalitatīvā darba vidē. Viens no pamatnostād</w:t>
      </w:r>
      <w:r>
        <w:rPr>
          <w:rStyle w:val="Noklusjumarindkopasfonts"/>
          <w:sz w:val="24"/>
          <w:szCs w:val="24"/>
        </w:rPr>
        <w:t>ņu vidējā termiņa mērķiem paredz nodrošināt individualizētu atbalstu bezdarba un ilgstošā bezdarba riskam visvairāk pakļautajām personām, tajā skaitā jauniešiem, kas nemācās un nestrādā (NEET grupas jauniešiem). Pamatnostādņu 3.rīcības virziena "Iekļaujošs</w:t>
      </w:r>
      <w:r>
        <w:rPr>
          <w:rStyle w:val="Noklusjumarindkopasfonts"/>
          <w:sz w:val="24"/>
          <w:szCs w:val="24"/>
        </w:rPr>
        <w:t xml:space="preserve"> darba tirgus ikvienam un kvalitatīvas darba vietas, atbalstot ilgtermiņa līdzdalību darba tirgū" 1.2.uzdevums paredz pilnveidojot individualizēta atbalsta sniegšanu Nodarbinātības valsts aģentūrā darba meklētājiem, bezdarbniekiem un bezdarba riskam pakļau</w:t>
      </w:r>
      <w:r>
        <w:rPr>
          <w:rStyle w:val="Noklusjumarindkopasfonts"/>
          <w:sz w:val="24"/>
          <w:szCs w:val="24"/>
        </w:rPr>
        <w:t xml:space="preserve">tajām personām, tajā skaitā NEET grupas jauniešiem. Savukārt rīcības virziens –  Moderna un pieejama sociālo pakalpojumu sistēma, paredz uzlabot iedzīvotāju iespējas dzīvot neatkarīgi un </w:t>
      </w:r>
      <w:r>
        <w:rPr>
          <w:rStyle w:val="Noklusjumarindkopasfonts"/>
          <w:sz w:val="24"/>
          <w:szCs w:val="24"/>
        </w:rPr>
        <w:lastRenderedPageBreak/>
        <w:t>dzīvot sabiedrībā, iekļauties izglītībā un darba tirgū. Šī rīcības vi</w:t>
      </w:r>
      <w:r>
        <w:rPr>
          <w:rStyle w:val="Noklusjumarindkopasfonts"/>
          <w:sz w:val="24"/>
          <w:szCs w:val="24"/>
        </w:rPr>
        <w:t>rziena ietvaros ir paredzēts atbalsts sabiedrībā balstītu pakalpojumu turpmākai attīstībai (sociālo pakalpojumu pieejamības bērniem ar funkcionāliem traucējumiem palielināšana, klāsta paplašināšana; atbalsta uzlabošana, bērniem ar iespējamu vai esošu inval</w:t>
      </w:r>
      <w:r>
        <w:rPr>
          <w:rStyle w:val="Noklusjumarindkopasfonts"/>
          <w:sz w:val="24"/>
          <w:szCs w:val="24"/>
        </w:rPr>
        <w:t>iditāti, tai skaitā, nodrošinot metodisku un praktisku atbalstu viņu aprūpē iesaistītajiem ģimenes locekļiem; atbalsta uzlabošana pārejas posmā no ārpusģimenes aprūpes uz  patstāvīgu dzīvi, kā arī pilotējot jaunus sociālos pakalpojumus un to ieviešanas vei</w:t>
      </w:r>
      <w:r>
        <w:rPr>
          <w:rStyle w:val="Noklusjumarindkopasfonts"/>
          <w:sz w:val="24"/>
          <w:szCs w:val="24"/>
        </w:rPr>
        <w:t>dus), sociālo pakalpojumu pieejamības un kvalitātes palielināšanai.</w:t>
      </w:r>
    </w:p>
    <w:p w14:paraId="3D929D6F" w14:textId="77777777" w:rsidR="00857646" w:rsidRDefault="00857646">
      <w:pPr>
        <w:pStyle w:val="Parasts"/>
        <w:ind w:left="360"/>
        <w:jc w:val="both"/>
      </w:pPr>
    </w:p>
    <w:p w14:paraId="3CAE9340" w14:textId="77777777" w:rsidR="00857646" w:rsidRDefault="00DF35D0">
      <w:pPr>
        <w:pStyle w:val="Parasts"/>
        <w:spacing w:after="60"/>
        <w:jc w:val="both"/>
        <w:rPr>
          <w:b/>
          <w:color w:val="44546A"/>
          <w:sz w:val="24"/>
          <w:szCs w:val="24"/>
        </w:rPr>
      </w:pPr>
      <w:r>
        <w:rPr>
          <w:b/>
          <w:color w:val="44546A"/>
          <w:sz w:val="24"/>
          <w:szCs w:val="24"/>
        </w:rPr>
        <w:t>Pamatnostādņu sasaiste ar nacionāla līmeņa tiesību aktiem:</w:t>
      </w:r>
    </w:p>
    <w:p w14:paraId="1053E401" w14:textId="77777777" w:rsidR="00857646" w:rsidRDefault="00DF35D0">
      <w:pPr>
        <w:pStyle w:val="Sarakstarindkopa"/>
        <w:numPr>
          <w:ilvl w:val="0"/>
          <w:numId w:val="3"/>
        </w:numPr>
        <w:jc w:val="both"/>
        <w:textAlignment w:val="auto"/>
      </w:pPr>
      <w:r>
        <w:rPr>
          <w:rStyle w:val="Noklusjumarindkopasfonts"/>
          <w:b/>
          <w:sz w:val="24"/>
          <w:szCs w:val="24"/>
        </w:rPr>
        <w:t>Bērnu tiesību aizsardzības likums</w:t>
      </w:r>
      <w:r>
        <w:rPr>
          <w:rStyle w:val="Noklusjumarindkopasfonts"/>
          <w:sz w:val="24"/>
          <w:szCs w:val="24"/>
        </w:rPr>
        <w:t xml:space="preserve"> (</w:t>
      </w:r>
      <w:r>
        <w:rPr>
          <w:rStyle w:val="Noklusjumarindkopasfonts"/>
          <w:i/>
          <w:sz w:val="24"/>
          <w:szCs w:val="24"/>
        </w:rPr>
        <w:t>pieņemts Saeimā 1998.gada 19.jūnijā, stājies spēkā 1998.gada 22.jūlijā</w:t>
      </w:r>
      <w:r>
        <w:rPr>
          <w:rStyle w:val="Noklusjumarindkopasfonts"/>
          <w:sz w:val="24"/>
          <w:szCs w:val="24"/>
        </w:rPr>
        <w:t>) nosaka bērna tiesības</w:t>
      </w:r>
      <w:r>
        <w:rPr>
          <w:rStyle w:val="Noklusjumarindkopasfonts"/>
          <w:sz w:val="24"/>
          <w:szCs w:val="24"/>
        </w:rPr>
        <w:t>, brīvības un to aizsardzību, ņemot vērā, ka bērnam kā fiziski un intelektuāli nenobriedušai personai vajadzīga īpaša aizsardzība un gādība. Likums regulē arī pamatnosacījumus, saskaņā ar kuriem kontrolējama bērna uzvedība un nosakāma viņa atbildība, tas r</w:t>
      </w:r>
      <w:r>
        <w:rPr>
          <w:rStyle w:val="Noklusjumarindkopasfonts"/>
          <w:sz w:val="24"/>
          <w:szCs w:val="24"/>
        </w:rPr>
        <w:t>eglamentē vecāku un citu fizisko un juridisko personu, kā arī valsts un pašvaldību tiesības, pienākumus un atbildību par bērna tiesību nodrošināšanu, nosaka bērna tiesību aizsardzības sistēmu un tās darbības tiesiskos principus.</w:t>
      </w:r>
      <w:r>
        <w:t xml:space="preserve"> </w:t>
      </w:r>
      <w:r>
        <w:rPr>
          <w:rStyle w:val="Noklusjumarindkopasfonts"/>
          <w:sz w:val="24"/>
          <w:szCs w:val="24"/>
        </w:rPr>
        <w:t>Likums cita starpā regulē L</w:t>
      </w:r>
      <w:r>
        <w:rPr>
          <w:rStyle w:val="Noklusjumarindkopasfonts"/>
          <w:sz w:val="24"/>
          <w:szCs w:val="24"/>
        </w:rPr>
        <w:t>abklājības ministrijas un tās padotības iestāžu kompetenci bērnu tiesību aizsardzības jomā.</w:t>
      </w:r>
    </w:p>
    <w:p w14:paraId="7D5EC776" w14:textId="77777777" w:rsidR="00857646" w:rsidRDefault="00DF35D0">
      <w:pPr>
        <w:pStyle w:val="Sarakstarindkopa"/>
        <w:numPr>
          <w:ilvl w:val="0"/>
          <w:numId w:val="3"/>
        </w:numPr>
        <w:jc w:val="both"/>
        <w:textAlignment w:val="auto"/>
      </w:pPr>
      <w:r>
        <w:rPr>
          <w:rStyle w:val="Noklusjumarindkopasfonts"/>
          <w:b/>
          <w:sz w:val="24"/>
          <w:szCs w:val="24"/>
        </w:rPr>
        <w:t>Administratīvās atbildības likums</w:t>
      </w:r>
      <w:r>
        <w:rPr>
          <w:rStyle w:val="Noklusjumarindkopasfonts"/>
          <w:sz w:val="24"/>
          <w:szCs w:val="24"/>
        </w:rPr>
        <w:t xml:space="preserve"> (</w:t>
      </w:r>
      <w:r>
        <w:rPr>
          <w:rStyle w:val="Noklusjumarindkopasfonts"/>
          <w:i/>
          <w:sz w:val="24"/>
          <w:szCs w:val="24"/>
        </w:rPr>
        <w:t>pieņemts Saeimā 2018.gada 25.oktobrī, stājies spēkā 2020.gada 1.jūlijā</w:t>
      </w:r>
      <w:r>
        <w:rPr>
          <w:rStyle w:val="Noklusjumarindkopasfonts"/>
          <w:sz w:val="24"/>
          <w:szCs w:val="24"/>
        </w:rPr>
        <w:t>) nosaka administratīvās atbildības pamatnoteikumus, admini</w:t>
      </w:r>
      <w:r>
        <w:rPr>
          <w:rStyle w:val="Noklusjumarindkopasfonts"/>
          <w:sz w:val="24"/>
          <w:szCs w:val="24"/>
        </w:rPr>
        <w:t>stratīvā pārkāpuma procesa norisi, sodu izpildi un starptautisko sadarbību administratīvā pārkāpuma procesā.</w:t>
      </w:r>
    </w:p>
    <w:p w14:paraId="3816F68C" w14:textId="77777777" w:rsidR="00857646" w:rsidRDefault="00DF35D0">
      <w:pPr>
        <w:pStyle w:val="Sarakstarindkopa"/>
        <w:numPr>
          <w:ilvl w:val="0"/>
          <w:numId w:val="3"/>
        </w:numPr>
        <w:jc w:val="both"/>
        <w:textAlignment w:val="auto"/>
      </w:pPr>
      <w:r>
        <w:rPr>
          <w:rStyle w:val="Noklusjumarindkopasfonts"/>
          <w:b/>
          <w:sz w:val="24"/>
          <w:szCs w:val="24"/>
        </w:rPr>
        <w:t xml:space="preserve">Diasporas likums </w:t>
      </w:r>
      <w:r>
        <w:rPr>
          <w:rStyle w:val="Noklusjumarindkopasfonts"/>
          <w:i/>
          <w:sz w:val="24"/>
          <w:szCs w:val="24"/>
        </w:rPr>
        <w:t xml:space="preserve">(pieņemts Saeimā 2018.gada 1.novembrī, stājies spēkā 2019.gada 1.janvārī) </w:t>
      </w:r>
      <w:r>
        <w:rPr>
          <w:rStyle w:val="Noklusjumarindkopasfonts"/>
          <w:sz w:val="24"/>
          <w:szCs w:val="24"/>
        </w:rPr>
        <w:t>nosaka: (1) diasporas lomu Latvijas valstī un tiesību si</w:t>
      </w:r>
      <w:r>
        <w:rPr>
          <w:rStyle w:val="Noklusjumarindkopasfonts"/>
          <w:sz w:val="24"/>
          <w:szCs w:val="24"/>
        </w:rPr>
        <w:t>stēmā, Latvijas un diasporas sadarbības pamatprincipus, diasporas politikas uzdevumus un diasporas atbalsta virzienus, veidus, kādos nodrošināma diasporas līdzdalība lēmumu pieņemšanā un sabiedriskajā dzīvē, kā arī diasporas politikas īstenošanā iesaistītā</w:t>
      </w:r>
      <w:r>
        <w:rPr>
          <w:rStyle w:val="Noklusjumarindkopasfonts"/>
          <w:sz w:val="24"/>
          <w:szCs w:val="24"/>
        </w:rPr>
        <w:t>s personas un to kompetenci konkrētā diasporas politikas nozarē; (2) pamatprincipus finansējuma piešķiršanai diasporas un remigrācijas iniciatīvām, līdzdalībai lēmumu pieņemšanā un sabiedriskajā dzīvē; (3) diasporas un remigrācijas atbalsta pasākumus.</w:t>
      </w:r>
    </w:p>
    <w:p w14:paraId="63FD3C4A" w14:textId="77777777" w:rsidR="00857646" w:rsidRDefault="00DF35D0">
      <w:pPr>
        <w:pStyle w:val="Sarakstarindkopa"/>
        <w:numPr>
          <w:ilvl w:val="0"/>
          <w:numId w:val="3"/>
        </w:numPr>
        <w:spacing w:after="60"/>
        <w:jc w:val="both"/>
        <w:textAlignment w:val="auto"/>
      </w:pPr>
      <w:r>
        <w:rPr>
          <w:rStyle w:val="Noklusjumarindkopasfonts"/>
          <w:b/>
          <w:sz w:val="24"/>
          <w:szCs w:val="24"/>
        </w:rPr>
        <w:t>Inva</w:t>
      </w:r>
      <w:r>
        <w:rPr>
          <w:rStyle w:val="Noklusjumarindkopasfonts"/>
          <w:b/>
          <w:sz w:val="24"/>
          <w:szCs w:val="24"/>
        </w:rPr>
        <w:t>liditātes likums</w:t>
      </w:r>
      <w:r>
        <w:rPr>
          <w:rStyle w:val="Noklusjumarindkopasfonts"/>
          <w:sz w:val="24"/>
          <w:szCs w:val="24"/>
        </w:rPr>
        <w:t xml:space="preserve"> </w:t>
      </w:r>
      <w:r>
        <w:rPr>
          <w:rStyle w:val="Noklusjumarindkopasfonts"/>
          <w:bCs/>
          <w:i/>
          <w:sz w:val="24"/>
          <w:szCs w:val="24"/>
        </w:rPr>
        <w:t>(</w:t>
      </w:r>
      <w:r>
        <w:rPr>
          <w:rStyle w:val="Noklusjumarindkopasfonts"/>
          <w:i/>
          <w:sz w:val="24"/>
          <w:szCs w:val="24"/>
        </w:rPr>
        <w:t>pieņemts Saeimā 2010.gada 20.maijā, stājies spēkā 2011.gada 1.janvārī</w:t>
      </w:r>
      <w:r>
        <w:rPr>
          <w:rStyle w:val="Noklusjumarindkopasfonts"/>
          <w:sz w:val="24"/>
          <w:szCs w:val="24"/>
        </w:rPr>
        <w:t>) nosaka kārtību, kādā veicama prognozējamas invaliditātes un invaliditātes ekspertīze, invaliditātes iedalījumu grupās, kā arī prognozējamas invaliditātes, invaliditāte</w:t>
      </w:r>
      <w:r>
        <w:rPr>
          <w:rStyle w:val="Noklusjumarindkopasfonts"/>
          <w:sz w:val="24"/>
          <w:szCs w:val="24"/>
        </w:rPr>
        <w:t>s riska un invaliditātes seku mazināšanai nepieciešamos atbalsta pasākumus.</w:t>
      </w:r>
    </w:p>
    <w:p w14:paraId="04FEBE26" w14:textId="77777777" w:rsidR="00857646" w:rsidRDefault="00DF35D0">
      <w:pPr>
        <w:pStyle w:val="Sarakstarindkopa"/>
        <w:numPr>
          <w:ilvl w:val="0"/>
          <w:numId w:val="3"/>
        </w:numPr>
        <w:spacing w:after="60"/>
        <w:jc w:val="both"/>
        <w:textAlignment w:val="auto"/>
      </w:pPr>
      <w:r>
        <w:rPr>
          <w:rStyle w:val="Noklusjumarindkopasfonts"/>
          <w:b/>
          <w:sz w:val="24"/>
          <w:szCs w:val="24"/>
        </w:rPr>
        <w:t xml:space="preserve">Jaunatnes likums </w:t>
      </w:r>
      <w:r>
        <w:rPr>
          <w:rStyle w:val="Noklusjumarindkopasfonts"/>
          <w:i/>
          <w:sz w:val="24"/>
          <w:szCs w:val="24"/>
        </w:rPr>
        <w:t>(pieņemts Saeimā 2008.gada 8.maijā, stājies spēkā 2009.gada 1.janvārī)</w:t>
      </w:r>
      <w:r>
        <w:rPr>
          <w:rStyle w:val="Noklusjumarindkopasfonts"/>
          <w:sz w:val="24"/>
          <w:szCs w:val="24"/>
        </w:rPr>
        <w:t xml:space="preserve"> nosaka jaunatnes politikas īstenošanā iesaistītās personas un to kompetenci šīs politikas no</w:t>
      </w:r>
      <w:r>
        <w:rPr>
          <w:rStyle w:val="Noklusjumarindkopasfonts"/>
          <w:sz w:val="24"/>
          <w:szCs w:val="24"/>
        </w:rPr>
        <w:t>zarē, jauniešu līdzdalību jaunatnes politikas izstrādē un īstenošanā, kā arī pamatprincipus finansējuma piešķiršanai jauniešu iniciatīvām, līdzdalībai lēmumu pieņemšanā un sabiedriskajā dzīvē un darbam ar jaunatni.</w:t>
      </w:r>
    </w:p>
    <w:p w14:paraId="3BD1746C" w14:textId="77777777" w:rsidR="00857646" w:rsidRDefault="00DF35D0">
      <w:pPr>
        <w:pStyle w:val="Sarakstarindkopa"/>
        <w:numPr>
          <w:ilvl w:val="0"/>
          <w:numId w:val="3"/>
        </w:numPr>
        <w:spacing w:after="60"/>
        <w:jc w:val="both"/>
        <w:textAlignment w:val="auto"/>
      </w:pPr>
      <w:r>
        <w:rPr>
          <w:rStyle w:val="Noklusjumarindkopasfonts"/>
          <w:b/>
          <w:sz w:val="24"/>
          <w:szCs w:val="24"/>
        </w:rPr>
        <w:t>Likums ''Par audzinoša rakstura piespiedu</w:t>
      </w:r>
      <w:r>
        <w:rPr>
          <w:rStyle w:val="Noklusjumarindkopasfonts"/>
          <w:b/>
          <w:sz w:val="24"/>
          <w:szCs w:val="24"/>
        </w:rPr>
        <w:t xml:space="preserve"> līdzekļu piemērošanu bērniem'' </w:t>
      </w:r>
      <w:r>
        <w:rPr>
          <w:rStyle w:val="Noklusjumarindkopasfonts"/>
          <w:sz w:val="24"/>
          <w:szCs w:val="24"/>
        </w:rPr>
        <w:t>(</w:t>
      </w:r>
      <w:r>
        <w:rPr>
          <w:rStyle w:val="Noklusjumarindkopasfonts"/>
          <w:i/>
          <w:sz w:val="24"/>
          <w:szCs w:val="24"/>
        </w:rPr>
        <w:t xml:space="preserve">pieņemts Saeimā 2002.gada 31.oktobrī, stājies spēkā 2005.gada 1.janvārī). </w:t>
      </w:r>
      <w:r>
        <w:rPr>
          <w:rStyle w:val="Noklusjumarindkopasfonts"/>
          <w:sz w:val="24"/>
          <w:szCs w:val="24"/>
        </w:rPr>
        <w:t>Likums nosaka audzinoša rakstura piespiedu līdzekļu veidus un to piemērošanas kārtību.</w:t>
      </w:r>
    </w:p>
    <w:p w14:paraId="6D6C2B0C" w14:textId="77777777" w:rsidR="00857646" w:rsidRDefault="00DF35D0">
      <w:pPr>
        <w:pStyle w:val="Sarakstarindkopa"/>
        <w:numPr>
          <w:ilvl w:val="0"/>
          <w:numId w:val="3"/>
        </w:numPr>
        <w:spacing w:after="60"/>
        <w:jc w:val="both"/>
        <w:textAlignment w:val="auto"/>
      </w:pPr>
      <w:r>
        <w:rPr>
          <w:rStyle w:val="Noklusjumarindkopasfonts"/>
          <w:b/>
          <w:sz w:val="24"/>
          <w:szCs w:val="24"/>
        </w:rPr>
        <w:t>Likums "Par sociālo drošību"</w:t>
      </w:r>
      <w:r>
        <w:rPr>
          <w:rStyle w:val="Noklusjumarindkopasfonts"/>
          <w:sz w:val="24"/>
          <w:szCs w:val="24"/>
        </w:rPr>
        <w:t xml:space="preserve"> (</w:t>
      </w:r>
      <w:r>
        <w:rPr>
          <w:rStyle w:val="Noklusjumarindkopasfonts"/>
          <w:i/>
          <w:sz w:val="24"/>
          <w:szCs w:val="24"/>
        </w:rPr>
        <w:t xml:space="preserve">pieņemts Saeimā </w:t>
      </w:r>
      <w:r>
        <w:rPr>
          <w:rStyle w:val="Noklusjumarindkopasfonts"/>
          <w:i/>
          <w:sz w:val="24"/>
          <w:szCs w:val="24"/>
        </w:rPr>
        <w:t>1995.gada 7.septembrī, stājies spēkā 1995.gada 5.oktobrī</w:t>
      </w:r>
      <w:r>
        <w:rPr>
          <w:rStyle w:val="Noklusjumarindkopasfonts"/>
          <w:sz w:val="24"/>
          <w:szCs w:val="24"/>
        </w:rPr>
        <w:t>) nosaka sociālās drošības sistēmas veidošanas un darbības principus, galvenās sociālās tiesības un personas pienākumus, to realizēšanas pamatnosacījumus, kā arī reglamentē sociālo pakalpojumu veidus.</w:t>
      </w:r>
      <w:r>
        <w:rPr>
          <w:rStyle w:val="Noklusjumarindkopasfonts"/>
          <w:sz w:val="24"/>
          <w:szCs w:val="24"/>
        </w:rPr>
        <w:t xml:space="preserve"> Likums nosaka: 1) ka personai, kura strādā vai vēlas strādāt algotu darbu, ir tiesības uz bezmaksas konsultāciju, izvēloties izglītību un profesiju; palīdzību piemērotas darbavietas atrašanā; materiālu nodrošinājumu bezdarba vai darba devēja maksātnespēja</w:t>
      </w:r>
      <w:r>
        <w:rPr>
          <w:rStyle w:val="Noklusjumarindkopasfonts"/>
          <w:sz w:val="24"/>
          <w:szCs w:val="24"/>
        </w:rPr>
        <w:t xml:space="preserve">s gadījumā; 2) tiesības uz sociālo apdrošināšanu un sociālai apdrošināšanai obligāti </w:t>
      </w:r>
      <w:r>
        <w:rPr>
          <w:rStyle w:val="Noklusjumarindkopasfonts"/>
          <w:sz w:val="24"/>
          <w:szCs w:val="24"/>
        </w:rPr>
        <w:lastRenderedPageBreak/>
        <w:t>pakļauto personu loku; 3) sociāli apdrošinātas personas tiesības uz pasākumiem, kas nepieciešami veselības un darbspēju aizsardzībai, saglabāšanai, uzlabošanai un atjaunoš</w:t>
      </w:r>
      <w:r>
        <w:rPr>
          <w:rStyle w:val="Noklusjumarindkopasfonts"/>
          <w:sz w:val="24"/>
          <w:szCs w:val="24"/>
        </w:rPr>
        <w:t>anai, un materiālu nodrošinājumu slimības, grūtniecības un dzemdību, invaliditātes un vecuma,  bezdarba, apgādnieka zaudēšanas gadījumā; 4) sociālās palīdzības saņemšanas nosacījumus; 5) atbalsta saņemšanas tiesības ar bērna uzturēšanu saistītu izdevumu ko</w:t>
      </w:r>
      <w:r>
        <w:rPr>
          <w:rStyle w:val="Noklusjumarindkopasfonts"/>
          <w:sz w:val="24"/>
          <w:szCs w:val="24"/>
        </w:rPr>
        <w:t>mpensēšanai, dzīvokļa nodrošināšanai saistīto izdevumu segšanai, bērniem un jauniešiem paredzēto pakalpojumu saņemšanā, personu ar invaliditāti iesaistīšanai sabiedrības dzīvē. Nodrošinot sociālos pakalpojumus, aizliegta atšķirīga attieksme atkarībā no per</w:t>
      </w:r>
      <w:r>
        <w:rPr>
          <w:rStyle w:val="Noklusjumarindkopasfonts"/>
          <w:sz w:val="24"/>
          <w:szCs w:val="24"/>
        </w:rPr>
        <w:t>sonas rases, etniskās piederības, ādas krāsas, dzimuma, vecuma, invaliditātes, veselības stāvokļa, reliģiskās, politiskās vai citas pārliecības, nacionālās vai sociālās izcelsmes, mantiskā vai ģimenes stāvokļa vai citiem apstākļiem. Piemērojot šo likumu un</w:t>
      </w:r>
      <w:r>
        <w:rPr>
          <w:rStyle w:val="Noklusjumarindkopasfonts"/>
          <w:sz w:val="24"/>
          <w:szCs w:val="24"/>
        </w:rPr>
        <w:t xml:space="preserve"> veicot praktiskus pasākumus, sociālās tiesības jāīsteno pēc iespējas pilnīgāk.</w:t>
      </w:r>
    </w:p>
    <w:p w14:paraId="69BC6710" w14:textId="77777777" w:rsidR="00857646" w:rsidRDefault="00DF35D0">
      <w:pPr>
        <w:pStyle w:val="Sarakstarindkopa"/>
        <w:numPr>
          <w:ilvl w:val="0"/>
          <w:numId w:val="3"/>
        </w:numPr>
        <w:spacing w:after="60"/>
        <w:jc w:val="both"/>
        <w:textAlignment w:val="auto"/>
      </w:pPr>
      <w:r>
        <w:rPr>
          <w:rStyle w:val="Noklusjumarindkopasfonts"/>
          <w:b/>
          <w:sz w:val="24"/>
          <w:szCs w:val="24"/>
        </w:rPr>
        <w:t>Likums</w:t>
      </w:r>
      <w:hyperlink r:id="rId7" w:history="1">
        <w:r>
          <w:rPr>
            <w:rStyle w:val="Noklusjumarindkopasfonts"/>
            <w:b/>
            <w:sz w:val="24"/>
            <w:szCs w:val="24"/>
          </w:rPr>
          <w:t>"Par pašvaldībām"</w:t>
        </w:r>
      </w:hyperlink>
      <w:r>
        <w:rPr>
          <w:rStyle w:val="Noklusjumarindkopasfonts"/>
          <w:rFonts w:ascii="Verdana" w:hAnsi="Verdana"/>
          <w:sz w:val="18"/>
          <w:szCs w:val="18"/>
        </w:rPr>
        <w:t xml:space="preserve"> </w:t>
      </w:r>
      <w:r>
        <w:rPr>
          <w:rStyle w:val="Noklusjumarindkopasfonts"/>
          <w:bCs/>
          <w:i/>
          <w:sz w:val="24"/>
          <w:szCs w:val="24"/>
        </w:rPr>
        <w:t>(</w:t>
      </w:r>
      <w:r>
        <w:rPr>
          <w:rStyle w:val="Noklusjumarindkopasfonts"/>
          <w:i/>
          <w:sz w:val="24"/>
          <w:szCs w:val="24"/>
        </w:rPr>
        <w:t>pieņemts Saeimā 1994.gada 19.maijā, stājies spēkā 1994.gada 9.jūn</w:t>
      </w:r>
      <w:r>
        <w:rPr>
          <w:rStyle w:val="Noklusjumarindkopasfonts"/>
          <w:i/>
          <w:sz w:val="24"/>
          <w:szCs w:val="24"/>
        </w:rPr>
        <w:t>ijā</w:t>
      </w:r>
      <w:r>
        <w:rPr>
          <w:rStyle w:val="Noklusjumarindkopasfonts"/>
          <w:sz w:val="24"/>
          <w:szCs w:val="24"/>
        </w:rPr>
        <w:t>) nosaka cita starpā pašvaldību kompetenci sociālās palīdzības un sociālās aprūpes sniegšanā, dzīvokļa jautājumu risināšanā, ārpusģimenes aprūpes jautājumos, bērnu tiesību nodrošināšanā.</w:t>
      </w:r>
    </w:p>
    <w:p w14:paraId="7BCACCD1" w14:textId="77777777" w:rsidR="00857646" w:rsidRDefault="00DF35D0">
      <w:pPr>
        <w:pStyle w:val="Sarakstarindkopa"/>
        <w:numPr>
          <w:ilvl w:val="0"/>
          <w:numId w:val="3"/>
        </w:numPr>
        <w:spacing w:after="60"/>
        <w:jc w:val="both"/>
        <w:textAlignment w:val="auto"/>
      </w:pPr>
      <w:r>
        <w:rPr>
          <w:rStyle w:val="Noklusjumarindkopasfonts"/>
          <w:b/>
          <w:bCs/>
          <w:sz w:val="24"/>
          <w:szCs w:val="24"/>
        </w:rPr>
        <w:t xml:space="preserve">Likums "Par valsts kompensāciju cietušajiem" </w:t>
      </w:r>
      <w:r>
        <w:rPr>
          <w:rStyle w:val="Noklusjumarindkopasfonts"/>
          <w:sz w:val="24"/>
          <w:szCs w:val="24"/>
        </w:rPr>
        <w:t>(</w:t>
      </w:r>
      <w:r>
        <w:rPr>
          <w:rStyle w:val="Noklusjumarindkopasfonts"/>
          <w:i/>
          <w:iCs/>
          <w:sz w:val="24"/>
          <w:szCs w:val="24"/>
        </w:rPr>
        <w:t>pieņemts 2006.gada 1</w:t>
      </w:r>
      <w:r>
        <w:rPr>
          <w:rStyle w:val="Noklusjumarindkopasfonts"/>
          <w:i/>
          <w:iCs/>
          <w:sz w:val="24"/>
          <w:szCs w:val="24"/>
        </w:rPr>
        <w:t>8.maijā, stājies spēkā 2006.gada 20.maijā</w:t>
      </w:r>
      <w:r>
        <w:rPr>
          <w:rStyle w:val="Noklusjumarindkopasfonts"/>
          <w:sz w:val="24"/>
          <w:szCs w:val="24"/>
        </w:rPr>
        <w:t>) nosaka kārtību, kādā Juridiskās palīdzības administrācija izmaksā valsts kompensāciju cietušajam, un valsts kompensācijas apmēru ar mērķi nodrošināt fiziskajai personai, kura Kriminālprocesa likumā noteiktajā kārt</w:t>
      </w:r>
      <w:r>
        <w:rPr>
          <w:rStyle w:val="Noklusjumarindkopasfonts"/>
          <w:sz w:val="24"/>
          <w:szCs w:val="24"/>
        </w:rPr>
        <w:t>ībā ir atzīta par cietušo, tiesības saņemt valsts kompensāciju par tīša noziedzīga nodarījuma rezultātā radīto morālo aizskārumu, fiziskajām ciešanām vai mantisko zaudējumu.</w:t>
      </w:r>
    </w:p>
    <w:p w14:paraId="2E205F5E" w14:textId="77777777" w:rsidR="00857646" w:rsidRDefault="00DF35D0">
      <w:pPr>
        <w:pStyle w:val="Sarakstarindkopa"/>
        <w:numPr>
          <w:ilvl w:val="0"/>
          <w:numId w:val="3"/>
        </w:numPr>
        <w:spacing w:after="60"/>
        <w:jc w:val="both"/>
        <w:textAlignment w:val="auto"/>
      </w:pPr>
      <w:r>
        <w:rPr>
          <w:rStyle w:val="Noklusjumarindkopasfonts"/>
          <w:b/>
          <w:bCs/>
          <w:sz w:val="24"/>
          <w:szCs w:val="24"/>
        </w:rPr>
        <w:t xml:space="preserve">Sociālo pakalpojumu un sociālās palīdzības likums </w:t>
      </w:r>
      <w:r>
        <w:rPr>
          <w:rStyle w:val="Noklusjumarindkopasfonts"/>
          <w:bCs/>
          <w:i/>
          <w:sz w:val="24"/>
          <w:szCs w:val="24"/>
        </w:rPr>
        <w:t>(</w:t>
      </w:r>
      <w:r>
        <w:rPr>
          <w:rStyle w:val="Noklusjumarindkopasfonts"/>
          <w:i/>
          <w:sz w:val="24"/>
          <w:szCs w:val="24"/>
        </w:rPr>
        <w:t>pieņemts Saeimā 2002.gada 31.ok</w:t>
      </w:r>
      <w:r>
        <w:rPr>
          <w:rStyle w:val="Noklusjumarindkopasfonts"/>
          <w:i/>
          <w:sz w:val="24"/>
          <w:szCs w:val="24"/>
        </w:rPr>
        <w:t>tobrī, stājies spēkā 2003.gada 1.janvārī</w:t>
      </w:r>
      <w:r>
        <w:rPr>
          <w:rStyle w:val="Noklusjumarindkopasfonts"/>
          <w:sz w:val="24"/>
          <w:szCs w:val="24"/>
        </w:rPr>
        <w:t>) nosaka sociālā darba, karitatīvā sociālā darba, sociālās aprūpes, sociālās rehabilitācijas, profesionālās rehabilitācijas pakalpojumu (turpmāk — sociālie pakalpojumi) un sociālās palīdzības sniegšanas un saņemšanas</w:t>
      </w:r>
      <w:r>
        <w:rPr>
          <w:rStyle w:val="Noklusjumarindkopasfonts"/>
          <w:sz w:val="24"/>
          <w:szCs w:val="24"/>
        </w:rPr>
        <w:t xml:space="preserve"> principus, to personu loku, kurām ir tiesības saņemt šos pakalpojumus un palīdzību, kā arī sociālās aprūpes, sociālās rehabilitācijas un profesionālās rehabilitācijas pakalpojumu samaksas un finansēšanas principus.</w:t>
      </w:r>
    </w:p>
    <w:p w14:paraId="2AF7734A" w14:textId="77777777" w:rsidR="00857646" w:rsidRDefault="00DF35D0">
      <w:pPr>
        <w:pStyle w:val="Sarakstarindkopa"/>
        <w:numPr>
          <w:ilvl w:val="0"/>
          <w:numId w:val="3"/>
        </w:numPr>
        <w:jc w:val="both"/>
        <w:textAlignment w:val="auto"/>
      </w:pPr>
      <w:r>
        <w:rPr>
          <w:rStyle w:val="Noklusjumarindkopasfonts"/>
          <w:b/>
          <w:sz w:val="24"/>
          <w:szCs w:val="24"/>
        </w:rPr>
        <w:t>Valsts nodrošinātās juridiskās palīdzība</w:t>
      </w:r>
      <w:r>
        <w:rPr>
          <w:rStyle w:val="Noklusjumarindkopasfonts"/>
          <w:b/>
          <w:sz w:val="24"/>
          <w:szCs w:val="24"/>
        </w:rPr>
        <w:t>s likums</w:t>
      </w:r>
      <w:r>
        <w:rPr>
          <w:rStyle w:val="Noklusjumarindkopasfonts"/>
          <w:sz w:val="24"/>
          <w:szCs w:val="24"/>
        </w:rPr>
        <w:t xml:space="preserve"> (</w:t>
      </w:r>
      <w:r>
        <w:rPr>
          <w:rStyle w:val="Noklusjumarindkopasfonts"/>
          <w:i/>
          <w:sz w:val="24"/>
          <w:szCs w:val="24"/>
        </w:rPr>
        <w:t>pieņemts Saeimā 2005.gada 17.martā, stājies spēkā 2005.gada 1.jūnijā</w:t>
      </w:r>
      <w:r>
        <w:rPr>
          <w:rStyle w:val="Noklusjumarindkopasfonts"/>
          <w:sz w:val="24"/>
          <w:szCs w:val="24"/>
        </w:rPr>
        <w:t>) reglamentē valsts nodrošinātās juridiskās palīdzības sniegšanas vispārīgos noteikumus, ar mērķi veicināt fiziskas personas tiesības uz taisnīgu tiesas aizsardzību, nodrošinot v</w:t>
      </w:r>
      <w:r>
        <w:rPr>
          <w:rStyle w:val="Noklusjumarindkopasfonts"/>
          <w:sz w:val="24"/>
          <w:szCs w:val="24"/>
        </w:rPr>
        <w:t>alsts garantētu finansiālu atbalstu juridiskās palīdzības saņemšanai.</w:t>
      </w:r>
    </w:p>
    <w:p w14:paraId="720EA510" w14:textId="77777777" w:rsidR="00857646" w:rsidRDefault="00857646">
      <w:pPr>
        <w:pStyle w:val="Sarakstarindkopa"/>
        <w:spacing w:after="60"/>
        <w:jc w:val="both"/>
        <w:rPr>
          <w:sz w:val="24"/>
          <w:szCs w:val="24"/>
        </w:rPr>
      </w:pPr>
    </w:p>
    <w:p w14:paraId="36DF4615" w14:textId="77777777" w:rsidR="00857646" w:rsidRDefault="00857646">
      <w:pPr>
        <w:pStyle w:val="Parasts"/>
      </w:pPr>
    </w:p>
    <w:sectPr w:rsidR="00857646">
      <w:pgSz w:w="11906" w:h="16838"/>
      <w:pgMar w:top="709" w:right="1133"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1B1A17" w14:textId="77777777" w:rsidR="00000000" w:rsidRDefault="00DF35D0">
      <w:pPr>
        <w:spacing w:after="0"/>
      </w:pPr>
      <w:r>
        <w:separator/>
      </w:r>
    </w:p>
  </w:endnote>
  <w:endnote w:type="continuationSeparator" w:id="0">
    <w:p w14:paraId="26A6F48C" w14:textId="77777777" w:rsidR="00000000" w:rsidRDefault="00DF35D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90636E" w14:textId="77777777" w:rsidR="00000000" w:rsidRDefault="00DF35D0">
      <w:pPr>
        <w:spacing w:after="0"/>
      </w:pPr>
      <w:r>
        <w:rPr>
          <w:color w:val="000000"/>
        </w:rPr>
        <w:separator/>
      </w:r>
    </w:p>
  </w:footnote>
  <w:footnote w:type="continuationSeparator" w:id="0">
    <w:p w14:paraId="51B8AABE" w14:textId="77777777" w:rsidR="00000000" w:rsidRDefault="00DF35D0">
      <w:pPr>
        <w:spacing w:after="0"/>
      </w:pPr>
      <w:r>
        <w:continuationSeparator/>
      </w:r>
    </w:p>
  </w:footnote>
  <w:footnote w:id="1">
    <w:p w14:paraId="59657AD0" w14:textId="77777777" w:rsidR="00857646" w:rsidRDefault="00DF35D0">
      <w:pPr>
        <w:pStyle w:val="Vresteksts"/>
        <w:spacing w:after="0"/>
      </w:pPr>
      <w:r>
        <w:rPr>
          <w:rStyle w:val="FootnoteReference"/>
        </w:rPr>
        <w:footnoteRef/>
      </w:r>
      <w:r>
        <w:rPr>
          <w:rStyle w:val="Noklusjumarindkopasfonts"/>
          <w:rFonts w:ascii="Times New Roman" w:hAnsi="Times New Roman"/>
        </w:rPr>
        <w:t xml:space="preserve">  </w:t>
      </w:r>
      <w:hyperlink r:id="rId1" w:history="1">
        <w:r>
          <w:rPr>
            <w:rStyle w:val="Hipersaite"/>
            <w:rFonts w:ascii="Times New Roman" w:hAnsi="Times New Roman"/>
            <w:color w:val="auto"/>
            <w:u w:val="none"/>
          </w:rPr>
          <w:t>https://www2.ohchr.org/english/bodies/crc/docs/CRC.C.GC.13_en.pdf</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B57617"/>
    <w:multiLevelType w:val="multilevel"/>
    <w:tmpl w:val="6424336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3D413760"/>
    <w:multiLevelType w:val="multilevel"/>
    <w:tmpl w:val="4D727D6C"/>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2" w15:restartNumberingAfterBreak="0">
    <w:nsid w:val="4BD15287"/>
    <w:multiLevelType w:val="multilevel"/>
    <w:tmpl w:val="AC32705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16cid:durableId="2061325875">
    <w:abstractNumId w:val="1"/>
  </w:num>
  <w:num w:numId="2" w16cid:durableId="1522471984">
    <w:abstractNumId w:val="0"/>
  </w:num>
  <w:num w:numId="3" w16cid:durableId="109323780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857646"/>
    <w:rsid w:val="00857646"/>
    <w:rsid w:val="00DF35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0C7EBA"/>
  <w15:docId w15:val="{15C5FF33-E33C-4082-8FE3-E8D610772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lv-LV" w:eastAsia="en-US" w:bidi="ar-SA"/>
      </w:rPr>
    </w:rPrDefault>
    <w:pPrDefault>
      <w:pPr>
        <w:autoSpaceDN w:val="0"/>
        <w:spacing w:after="16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irsraksts1">
    <w:name w:val="Virsraksts 1"/>
    <w:basedOn w:val="Parasts"/>
    <w:next w:val="Parasts"/>
    <w:pPr>
      <w:keepNext/>
      <w:keepLines/>
      <w:spacing w:before="240"/>
      <w:outlineLvl w:val="0"/>
    </w:pPr>
    <w:rPr>
      <w:b/>
      <w:bCs/>
      <w:color w:val="2F5496"/>
      <w:sz w:val="24"/>
      <w:szCs w:val="24"/>
    </w:rPr>
  </w:style>
  <w:style w:type="paragraph" w:customStyle="1" w:styleId="Parasts">
    <w:name w:val="Parasts"/>
    <w:pPr>
      <w:suppressAutoHyphens/>
      <w:spacing w:after="0"/>
    </w:pPr>
    <w:rPr>
      <w:rFonts w:ascii="Times New Roman" w:eastAsia="Times New Roman" w:hAnsi="Times New Roman"/>
      <w:lang w:eastAsia="lv-LV"/>
    </w:rPr>
  </w:style>
  <w:style w:type="character" w:customStyle="1" w:styleId="Noklusjumarindkopasfonts">
    <w:name w:val="Noklusējuma rindkopas fonts"/>
  </w:style>
  <w:style w:type="character" w:customStyle="1" w:styleId="Virsraksts1Rakstz">
    <w:name w:val="Virsraksts 1 Rakstz."/>
    <w:basedOn w:val="Noklusjumarindkopasfonts"/>
    <w:rPr>
      <w:rFonts w:ascii="Times New Roman" w:eastAsia="Times New Roman" w:hAnsi="Times New Roman" w:cs="Times New Roman"/>
      <w:b/>
      <w:bCs/>
      <w:color w:val="2F5496"/>
      <w:sz w:val="24"/>
      <w:szCs w:val="24"/>
      <w:lang w:eastAsia="lv-LV"/>
    </w:rPr>
  </w:style>
  <w:style w:type="paragraph" w:customStyle="1" w:styleId="Sarakstarindkopa">
    <w:name w:val="Saraksta rindkopa"/>
    <w:basedOn w:val="Parasts"/>
    <w:pPr>
      <w:ind w:left="720"/>
    </w:pPr>
  </w:style>
  <w:style w:type="character" w:customStyle="1" w:styleId="SarakstarindkopaRakstz">
    <w:name w:val="Saraksta rindkopa Rakstz."/>
    <w:rPr>
      <w:rFonts w:ascii="Times New Roman" w:eastAsia="Times New Roman" w:hAnsi="Times New Roman" w:cs="Times New Roman"/>
      <w:lang w:eastAsia="lv-LV"/>
    </w:rPr>
  </w:style>
  <w:style w:type="paragraph" w:customStyle="1" w:styleId="Vresteksts">
    <w:name w:val="Vēres teksts"/>
    <w:basedOn w:val="Parasts"/>
    <w:pPr>
      <w:spacing w:after="200" w:line="276" w:lineRule="auto"/>
    </w:pPr>
    <w:rPr>
      <w:rFonts w:ascii="Calibri" w:eastAsia="Calibri" w:hAnsi="Calibri"/>
      <w:sz w:val="20"/>
      <w:szCs w:val="20"/>
    </w:rPr>
  </w:style>
  <w:style w:type="character" w:customStyle="1" w:styleId="VrestekstsRakstz">
    <w:name w:val="Vēres teksts Rakstz."/>
    <w:basedOn w:val="Noklusjumarindkopasfonts"/>
    <w:rPr>
      <w:rFonts w:ascii="Calibri" w:eastAsia="Calibri" w:hAnsi="Calibri" w:cs="Times New Roman"/>
      <w:sz w:val="20"/>
      <w:szCs w:val="20"/>
      <w:lang w:eastAsia="lv-LV"/>
    </w:rPr>
  </w:style>
  <w:style w:type="character" w:customStyle="1" w:styleId="Vresatsauce">
    <w:name w:val="Vēres atsauce"/>
    <w:rPr>
      <w:position w:val="0"/>
      <w:vertAlign w:val="superscript"/>
    </w:rPr>
  </w:style>
  <w:style w:type="paragraph" w:customStyle="1" w:styleId="BVIfnrZnak">
    <w:name w:val="BVI fnr Знак Знак Znak"/>
    <w:basedOn w:val="Parasts"/>
    <w:pPr>
      <w:spacing w:after="160" w:line="240" w:lineRule="exact"/>
    </w:pPr>
    <w:rPr>
      <w:rFonts w:ascii="Calibri" w:eastAsia="Calibri" w:hAnsi="Calibri"/>
      <w:vertAlign w:val="superscript"/>
      <w:lang w:eastAsia="en-US"/>
    </w:rPr>
  </w:style>
  <w:style w:type="character" w:customStyle="1" w:styleId="Hipersaite">
    <w:name w:val="Hipersaite"/>
    <w:basedOn w:val="Noklusjumarindkopasfonts"/>
    <w:rPr>
      <w:color w:val="0563C1"/>
      <w:u w:val="single"/>
    </w:rPr>
  </w:style>
  <w:style w:type="character" w:customStyle="1" w:styleId="Neatrisintapieminana">
    <w:name w:val="Neatrisināta pieminēšana"/>
    <w:basedOn w:val="Noklusjumarindkopasfonts"/>
    <w:rPr>
      <w:color w:val="605E5C"/>
      <w:shd w:val="clear" w:color="auto" w:fill="E1DFDD"/>
    </w:rPr>
  </w:style>
  <w:style w:type="paragraph" w:styleId="Revision">
    <w:name w:val="Revision"/>
    <w:pPr>
      <w:suppressAutoHyphens/>
      <w:spacing w:after="0"/>
      <w:textAlignment w:val="auto"/>
    </w:pPr>
  </w:style>
  <w:style w:type="character" w:styleId="FootnoteReference">
    <w:name w:val="footnote reference"/>
    <w:basedOn w:val="DefaultParagraphFont"/>
    <w:rPr>
      <w:position w:val="0"/>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likumi.lv/doc.php?id=5725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2.ohchr.org/english/bodies/crc/docs/CRC.C.GC.13_en.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4628</Words>
  <Characters>26382</Characters>
  <Application>Microsoft Office Word</Application>
  <DocSecurity>0</DocSecurity>
  <Lines>219</Lines>
  <Paragraphs>61</Paragraphs>
  <ScaleCrop>false</ScaleCrop>
  <Company/>
  <LinksUpToDate>false</LinksUpToDate>
  <CharactersWithSpaces>30949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Kristine Venta-Kittele</dc:creator>
  <cp:lastModifiedBy>Elīna Kurme</cp:lastModifiedBy>
  <cp:revision>2</cp:revision>
  <dcterms:created xsi:type="dcterms:W3CDTF">2022-12-28T10:49:00Z</dcterms:created>
  <dcterms:modified xsi:type="dcterms:W3CDTF">2022-12-28T10:49:00Z</dcterms:modified>
</cp:coreProperties>
</file>