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p w:rsidR="00003631" w:rsidRDefault="00F60138">
      <w:pPr>
        <w:pStyle w:val="paragraphheader"/>
        <w:spacing w:before="1200"/>
        <w:contextualSpacing w:val="0"/>
        <w:jc w:val="center"/>
        <w:rPr>
          <w:b/>
        </w:rPr>
      </w:pPr>
      <w:bookmarkStart w:id="0" w:name="_GoBack"/>
      <w:bookmarkEnd w:id="0"/>
      <w:r>
        <w:rPr>
          <w:b/>
        </w:rPr>
        <w:t>Informatīvais ziņojums "Par atbalsta pasākumiem energoresursu cenu un vispārējās inflācijas pieauguma ietekmes mazināšanai mazaizsargātajām iedzīvotāju grupām"</w:t>
      </w:r>
    </w:p>
    <w:p w:rsidR="00003631" w:rsidRDefault="00003631">
      <w:pPr>
        <w:pBdr>
          <w:top w:val="single" w:sz="10" w:space="1" w:color="000000"/>
        </w:pBdr>
        <w:jc w:val="center"/>
        <w:rPr>
          <w:sz w:val="24"/>
        </w:rPr>
      </w:pPr>
    </w:p>
    <w:p w:rsidR="00003631" w:rsidRDefault="00F60138">
      <w:pPr>
        <w:numPr>
          <w:ilvl w:val="0"/>
          <w:numId w:val="1"/>
        </w:numPr>
        <w:ind w:firstLine="706"/>
      </w:pPr>
      <w:r>
        <w:t>1. Pieņemt zināšanai iesniegto informatīvo ziņojumu.</w:t>
      </w:r>
    </w:p>
    <w:p w:rsidR="00003631" w:rsidRDefault="00F60138">
      <w:pPr>
        <w:numPr>
          <w:ilvl w:val="0"/>
          <w:numId w:val="1"/>
        </w:numPr>
        <w:ind w:firstLine="706"/>
      </w:pPr>
      <w:r>
        <w:t>2. Atbalstīt informatīvajā ziņojumā ietvertos pasākumus mazaizsargātajām iedzīvotāju grupām automātiska un mērķēta atbalsta sniegšanai energoresursu cenu un vispārējās inflācijas pieauguma ietekmes mazināšanai.</w:t>
      </w:r>
    </w:p>
    <w:p w:rsidR="00003631" w:rsidRDefault="00F60138">
      <w:pPr>
        <w:numPr>
          <w:ilvl w:val="0"/>
          <w:numId w:val="1"/>
        </w:numPr>
        <w:ind w:firstLine="706"/>
      </w:pPr>
      <w:r>
        <w:t>3. Noteikt Labklājības ministriju, Ekonomikas ministriju, Finanšu ministriju, Iekšlietu ministriju un Vides aizsardzība un reģionālās attīstības ministriju par atbildīgajām iestādēm pasākumu īstenošanas koordinēšanā atbilstoši kompetencei.</w:t>
      </w:r>
    </w:p>
    <w:p w:rsidR="00003631" w:rsidRDefault="00F60138">
      <w:pPr>
        <w:numPr>
          <w:ilvl w:val="0"/>
          <w:numId w:val="1"/>
        </w:numPr>
        <w:ind w:firstLine="706"/>
      </w:pPr>
      <w:r>
        <w:t>4. Lai no 2023.gada oktobra nodrošinātu mazaizsargātajām iedzīvotāju grupām automātiska un mērķēta atbalsta sniegšanu energoresursu cenu un vispārējās inflācijas pieauguma ietekmes mazināšanai, uzdot:</w:t>
      </w:r>
    </w:p>
    <w:p w:rsidR="00003631" w:rsidRDefault="00F60138">
      <w:pPr>
        <w:numPr>
          <w:ilvl w:val="0"/>
          <w:numId w:val="1"/>
        </w:numPr>
        <w:ind w:firstLine="0"/>
      </w:pPr>
      <w:r>
        <w:t> </w:t>
      </w:r>
    </w:p>
    <w:p w:rsidR="00003631" w:rsidRDefault="00F60138">
      <w:pPr>
        <w:numPr>
          <w:ilvl w:val="1"/>
          <w:numId w:val="1"/>
        </w:numPr>
        <w:ind w:firstLine="706"/>
      </w:pPr>
      <w:r>
        <w:t>4.1. Vides aizsardzības un reģionālās attīstības ministrijai līdz 2023.gada 1.septembrim sadarbībā ar Ekonomikas ministriju, Finanšu ministriju, Iekšlietu ministriju, Labklājības ministriju un Latvijas Pašvaldību savienību izstrādāt vienotu risinājumu automatizētai datu, kas nepieciešami manuālai oficiālo ienākumu apmēra aprēķināšanai uz vienu mājsaimniecības locekli, apmaiņas nodrošināšanai starp valsts pārvaldes un pašvaldību institūcijām (turpmāk – datu risinājums), un tā ieviešanai nepieciešamo normatīvo aktu izstrādi, tajā skaitā, izveidot datu risinājuma tehnoloģisko nodrošinājumu, izmantojot izstrādē esošo Datu izplatīšanas un pārvaldības platformu (DAGR) un Valsts reģionālās attīstības aģentūras pārziņā esošos informācijas komunikāciju tehnoloģiju koplietošanas risinājumus;</w:t>
      </w:r>
    </w:p>
    <w:p w:rsidR="00003631" w:rsidRDefault="00F60138">
      <w:pPr>
        <w:numPr>
          <w:ilvl w:val="1"/>
          <w:numId w:val="1"/>
        </w:numPr>
        <w:ind w:firstLine="706"/>
      </w:pPr>
      <w:r>
        <w:t xml:space="preserve">4.2. Ekonomikas ministrijai, Finanšu ministrijai, Iekšlietu ministrijai, Labklājības ministrijai un  Vides aizsardzības un reģionālās attīstības ministrijai normatīvajos aktos noteiktajā kārtībā sagatavot un iesniegt Ministru kabinetā nepieciešamos normatīvos aktus šī </w:t>
      </w:r>
      <w:proofErr w:type="spellStart"/>
      <w:r>
        <w:t>protokollēmuma</w:t>
      </w:r>
      <w:proofErr w:type="spellEnd"/>
      <w:r>
        <w:t xml:space="preserve"> 4.1.apakšpunktā noteiktā uzdevuma izpildes nodrošināšanai un datu risinājumā pieejamo datu pārvaldībai;</w:t>
      </w:r>
    </w:p>
    <w:p w:rsidR="00003631" w:rsidRDefault="00F60138">
      <w:pPr>
        <w:numPr>
          <w:ilvl w:val="1"/>
          <w:numId w:val="1"/>
        </w:numPr>
        <w:ind w:firstLine="706"/>
      </w:pPr>
      <w:r>
        <w:t>4.3. datu apmaiņā iesaistītajām institūcijām sadarbībā ar Vides aizsardzības un reģionālās attīstības ministriju nodrošināt datu sniegšanu datu risinājumam, izveidojot datu aprites pieslēgumus Datu izplatīšanas un pārvaldības platformā (DAGR);</w:t>
      </w:r>
    </w:p>
    <w:p w:rsidR="00003631" w:rsidRDefault="00F60138">
      <w:pPr>
        <w:numPr>
          <w:ilvl w:val="1"/>
          <w:numId w:val="1"/>
        </w:numPr>
        <w:ind w:firstLine="706"/>
      </w:pPr>
      <w:r>
        <w:t xml:space="preserve">4.4. Vides aizsardzības un reģionālās attīstības ministrijai līdz 2024.gada oktobrim sadarbībā ar Ekonomikas ministriju, Finanšu ministriju, Iekšlietu ministriju, Labklājības ministriju un Latvijas Pašvaldību savienību izstrādāt vienotu risinājumu </w:t>
      </w:r>
      <w:r>
        <w:lastRenderedPageBreak/>
        <w:t>automatizētai oficiālo ienākumu apmēra aprēķināšanai uz vienu mājsaimniecības locekli (turpmāk – vienotais risinājums) un datu apmaiņas nodrošināšanai starp valsts pārvaldes un pašvaldību institūcijām, tajā skaitā, izveidot vienotā risinājuma tehnoloģisko nodrošinājumu, paplašinot Vides aizsardzības un reģionālās attīstības ministrijas pārziņā esošās Atvieglojumu vienotās informācijas sistēmas funkcionalitāti;</w:t>
      </w:r>
    </w:p>
    <w:p w:rsidR="00003631" w:rsidRDefault="00F60138">
      <w:pPr>
        <w:numPr>
          <w:ilvl w:val="1"/>
          <w:numId w:val="1"/>
        </w:numPr>
        <w:ind w:firstLine="706"/>
      </w:pPr>
      <w:r>
        <w:t>4.5. datu apmaiņā iesaistītajām institūcijām sadarbībā ar Vides aizsardzības un reģionālās attīstības ministriju nodrošināt datu sniegšanu vienotajam risinājumam, kā arī izveidot datu aprites pieslēgumus Datu izplatīšanas un pārvaldības platformai (DAGR);</w:t>
      </w:r>
    </w:p>
    <w:p w:rsidR="00003631" w:rsidRDefault="00F60138">
      <w:pPr>
        <w:numPr>
          <w:ilvl w:val="1"/>
          <w:numId w:val="1"/>
        </w:numPr>
        <w:ind w:firstLine="706"/>
      </w:pPr>
      <w:r>
        <w:t xml:space="preserve">4.6. Ekonomikas ministrijai, Finanšu ministrijai, Iekšlietu ministrijai, Labklājības ministrijai un  Vides aizsardzības un reģionālās attīstības ministrijai normatīvajos aktos noteiktajā kārtībā sagatavot un iesniegt Ministru kabinetā nepieciešamos normatīvos aktus šī </w:t>
      </w:r>
      <w:proofErr w:type="spellStart"/>
      <w:r>
        <w:t>protokollēmuma</w:t>
      </w:r>
      <w:proofErr w:type="spellEnd"/>
      <w:r>
        <w:t xml:space="preserve"> 4.4.apakšpunktā noteiktā uzdevuma izpildes nodrošināšanai un vienotajā risinājumā pieejamo datu pārvaldībai;</w:t>
      </w:r>
    </w:p>
    <w:p w:rsidR="00003631" w:rsidRDefault="00F60138">
      <w:pPr>
        <w:numPr>
          <w:ilvl w:val="1"/>
          <w:numId w:val="1"/>
        </w:numPr>
        <w:ind w:firstLine="706"/>
      </w:pPr>
      <w:r>
        <w:t xml:space="preserve">4.7. Labklājības ministrijai līdz 2022.gada 1.decembrim sadarbībā ar Finanšu ministriju, Valsts ieņēmumu dienestu, Valsts sociālās apdrošināšanas aģentūru un Latvijas Pašvaldību savienību izstrādāt automatizētu algoritmu mājsaimniecības ienākumu novērtēšanai, vērtēšanā iekļaujamajiem ienākumu veidiem, datu salīdzināšanas periodiskumu šī </w:t>
      </w:r>
      <w:proofErr w:type="spellStart"/>
      <w:r>
        <w:t>protokollēmuma</w:t>
      </w:r>
      <w:proofErr w:type="spellEnd"/>
      <w:r>
        <w:t xml:space="preserve"> 4.1.apakšpunktā noteiktā uzdevuma izpildes nodrošināšanai;</w:t>
      </w:r>
    </w:p>
    <w:p w:rsidR="00003631" w:rsidRDefault="00F60138">
      <w:pPr>
        <w:numPr>
          <w:ilvl w:val="1"/>
          <w:numId w:val="1"/>
        </w:numPr>
        <w:ind w:firstLine="706"/>
      </w:pPr>
      <w:r>
        <w:t xml:space="preserve">4.8. Labklājības ministrijai līdz 2022.gada 1.decembrim sadarbībā ar Pilsonības un migrācijas lietu pārvaldi, Ekonomikas ministriju, Iekšlietu ministriju, Finanšu ministriju un Vides aizsardzības un reģionālās attīstības ministriju izstrādāt automatizētu algoritmu mājsaimniecības sastāva noteikšanai atbilstoši Fizisko personu reģistrā uzkrātajiem datiem par personas adresi Latvijā šī </w:t>
      </w:r>
      <w:proofErr w:type="spellStart"/>
      <w:r>
        <w:t>protokollēmuma</w:t>
      </w:r>
      <w:proofErr w:type="spellEnd"/>
      <w:r>
        <w:t xml:space="preserve"> 4.1.apakšpunktā noteiktā uzdevuma izpildes nodrošināšanai.</w:t>
      </w:r>
    </w:p>
    <w:p w:rsidR="00003631" w:rsidRDefault="00F60138">
      <w:pPr>
        <w:numPr>
          <w:ilvl w:val="0"/>
          <w:numId w:val="1"/>
        </w:numPr>
        <w:ind w:firstLine="706"/>
      </w:pPr>
      <w:r>
        <w:t xml:space="preserve">5. Finansējumu šī </w:t>
      </w:r>
      <w:proofErr w:type="spellStart"/>
      <w:r>
        <w:t>protokollēmuma</w:t>
      </w:r>
      <w:proofErr w:type="spellEnd"/>
      <w:r>
        <w:t xml:space="preserve"> 4.1.apakšpunktā paredzētā Datu risinājuma un 4.4.apakšpunktā paredzētā vienotā risinājuma un datu aprites pieslēgumu Datu izplatīšanas un pārvaldības platformai (DAGR) izveidei paredzēt no Vides aizsardzības un reģionālās attīstības ministrijas administrētās Eiropas Savienības Atveseļošanas un noturības mehānisma plāna 2. komponentes “Digitālā transformācija” 2.1. reformu un investīciju virziena “Valsts pārvaldes, t.sk. pašvaldību digitālā transformācija”.</w:t>
      </w:r>
    </w:p>
    <w:sectPr w:rsidR="00003631">
      <w:headerReference w:type="default" r:id="rId8"/>
      <w:footerReference w:type="default" r:id="rId9"/>
      <w:headerReference w:type="first" r:id="rId10"/>
      <w:footerReference w:type="first" r:id="rId11"/>
      <w:pgSz w:w="11908" w:h="16833"/>
      <w:pgMar w:top="1133" w:right="1133" w:bottom="1133" w:left="1133" w:header="720" w:footer="720" w:gutter="0"/>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42E76" w:rsidRDefault="00142E76">
      <w:r>
        <w:separator/>
      </w:r>
    </w:p>
  </w:endnote>
  <w:endnote w:type="continuationSeparator" w:id="0">
    <w:p w:rsidR="00142E76" w:rsidRDefault="00142E7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BA"/>
    <w:family w:val="roman"/>
    <w:pitch w:val="variable"/>
    <w:sig w:usb0="E0002EFF" w:usb1="C000785B" w:usb2="00000009" w:usb3="00000000" w:csb0="000001FF" w:csb1="00000000"/>
  </w:font>
  <w:font w:name="Palatino">
    <w:panose1 w:val="00000000000000000000"/>
    <w:charset w:val="00"/>
    <w:family w:val="roman"/>
    <w:notTrueType/>
    <w:pitch w:val="default"/>
  </w:font>
  <w:font w:name="Arial">
    <w:panose1 w:val="020B0604020202020204"/>
    <w:charset w:val="BA"/>
    <w:family w:val="swiss"/>
    <w:pitch w:val="variable"/>
    <w:sig w:usb0="E0002EFF" w:usb1="C000785B" w:usb2="00000009" w:usb3="00000000" w:csb0="000001FF" w:csb1="00000000"/>
  </w:font>
  <w:font w:name="Calibri Light">
    <w:panose1 w:val="020F0302020204030204"/>
    <w:charset w:val="BA"/>
    <w:family w:val="swiss"/>
    <w:pitch w:val="variable"/>
    <w:sig w:usb0="E4002EFF" w:usb1="C000247B" w:usb2="00000009" w:usb3="00000000" w:csb0="000001FF" w:csb1="00000000"/>
  </w:font>
  <w:font w:name="Calibri">
    <w:panose1 w:val="020F0502020204030204"/>
    <w:charset w:val="BA"/>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03631" w:rsidRDefault="00F60138">
    <w:pPr>
      <w:jc w:val="right"/>
    </w:pPr>
    <w:r>
      <w:rPr>
        <w:sz w:val="24"/>
        <w:szCs w:val="24"/>
      </w:rPr>
      <w:fldChar w:fldCharType="begin"/>
    </w:r>
    <w:r>
      <w:rPr>
        <w:sz w:val="24"/>
        <w:szCs w:val="24"/>
      </w:rPr>
      <w:instrText>PAGE</w:instrText>
    </w:r>
    <w:r>
      <w:rPr>
        <w:sz w:val="24"/>
        <w:szCs w:val="24"/>
      </w:rPr>
      <w:fldChar w:fldCharType="separate"/>
    </w:r>
    <w:r w:rsidR="00212F61">
      <w:rPr>
        <w:noProof/>
        <w:sz w:val="24"/>
        <w:szCs w:val="24"/>
      </w:rPr>
      <w:t>2</w:t>
    </w:r>
    <w:r>
      <w:rPr>
        <w:sz w:val="24"/>
        <w:szCs w:val="24"/>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85F8A" w:rsidRDefault="00F60138">
    <w:r>
      <w:cr/>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42E76" w:rsidRDefault="00142E76">
      <w:r>
        <w:separator/>
      </w:r>
    </w:p>
  </w:footnote>
  <w:footnote w:type="continuationSeparator" w:id="0">
    <w:p w:rsidR="00142E76" w:rsidRDefault="00142E76">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85F8A" w:rsidRDefault="00F60138">
    <w:r>
      <w:cr/>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03631" w:rsidRDefault="00F60138">
    <w:pPr>
      <w:pStyle w:val="Header"/>
      <w:contextualSpacing w:val="0"/>
    </w:pPr>
    <w:r>
      <w:t xml:space="preserve">MK sēdes </w:t>
    </w:r>
    <w:proofErr w:type="spellStart"/>
    <w:r>
      <w:t>protokollēmuma</w:t>
    </w:r>
    <w:proofErr w:type="spellEnd"/>
    <w:r>
      <w:t xml:space="preserve"> projekts 22-TA-1933</w:t>
    </w:r>
    <w:r>
      <w:br/>
      <w:t>Izdrukāts 13.06.2022. 15.49</w:t>
    </w:r>
  </w:p>
  <w:p w:rsidR="00003631" w:rsidRDefault="00F60138">
    <w:pPr>
      <w:pStyle w:val="paragraphtitle"/>
      <w:contextualSpacing w:val="0"/>
    </w:pPr>
    <w:r>
      <w:t>Ministru kabineta sēdes protokollēmums</w:t>
    </w:r>
  </w:p>
  <w:p w:rsidR="00003631" w:rsidRDefault="00003631">
    <w:pPr>
      <w:pBdr>
        <w:top w:val="single" w:sz="4" w:space="1" w:color="auto"/>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3055F93"/>
    <w:multiLevelType w:val="hybridMultilevel"/>
    <w:tmpl w:val="AB9E6D18"/>
    <w:lvl w:ilvl="0" w:tplc="BDA84B90">
      <w:start w:val="1"/>
      <w:numFmt w:val="bullet"/>
      <w:lvlRestart w:val="0"/>
      <w:lvlText w:val=""/>
      <w:lvlJc w:val="left"/>
      <w:pPr>
        <w:ind w:left="0" w:firstLine="705"/>
      </w:pPr>
      <w:rPr>
        <w:u w:val="none"/>
      </w:rPr>
    </w:lvl>
    <w:lvl w:ilvl="1" w:tplc="2A0C8954">
      <w:start w:val="1"/>
      <w:numFmt w:val="bullet"/>
      <w:lvlRestart w:val="0"/>
      <w:lvlText w:val=""/>
      <w:lvlJc w:val="left"/>
      <w:pPr>
        <w:ind w:left="0" w:firstLine="705"/>
      </w:pPr>
      <w:rPr>
        <w:u w:val="none"/>
      </w:rPr>
    </w:lvl>
    <w:lvl w:ilvl="2" w:tplc="E48EAF88">
      <w:numFmt w:val="decimal"/>
      <w:lvlText w:val=""/>
      <w:lvlJc w:val="left"/>
    </w:lvl>
    <w:lvl w:ilvl="3" w:tplc="A422368A">
      <w:numFmt w:val="decimal"/>
      <w:lvlText w:val=""/>
      <w:lvlJc w:val="left"/>
    </w:lvl>
    <w:lvl w:ilvl="4" w:tplc="A2ECE9B8">
      <w:numFmt w:val="decimal"/>
      <w:lvlText w:val=""/>
      <w:lvlJc w:val="left"/>
    </w:lvl>
    <w:lvl w:ilvl="5" w:tplc="BB8C76FC">
      <w:numFmt w:val="decimal"/>
      <w:lvlText w:val=""/>
      <w:lvlJc w:val="left"/>
    </w:lvl>
    <w:lvl w:ilvl="6" w:tplc="18664DBE">
      <w:numFmt w:val="decimal"/>
      <w:lvlText w:val=""/>
      <w:lvlJc w:val="left"/>
    </w:lvl>
    <w:lvl w:ilvl="7" w:tplc="DC541F1C">
      <w:numFmt w:val="decimal"/>
      <w:lvlText w:val=""/>
      <w:lvlJc w:val="left"/>
    </w:lvl>
    <w:lvl w:ilvl="8" w:tplc="D7E06AD0">
      <w:numFmt w:val="decimal"/>
      <w:lvlText w:val=""/>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3631"/>
    <w:rsid w:val="00003631"/>
    <w:rsid w:val="00142E76"/>
    <w:rsid w:val="00212F61"/>
    <w:rsid w:val="00385F8A"/>
    <w:rsid w:val="005779FB"/>
    <w:rsid w:val="00F60138"/>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color w:val="333333"/>
        <w:sz w:val="28"/>
        <w:lang w:val="lv-LV" w:eastAsia="lv-LV" w:bidi="ar-SA"/>
      </w:rPr>
    </w:rPrDefault>
    <w:pPrDefault>
      <w:pPr>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tyle>
  <w:style w:type="paragraph" w:styleId="Heading1">
    <w:name w:val="heading 1"/>
    <w:basedOn w:val="Normal"/>
    <w:next w:val="Normal"/>
    <w:pPr>
      <w:spacing w:after="120"/>
      <w:contextualSpacing/>
      <w:outlineLvl w:val="0"/>
    </w:pPr>
    <w:rPr>
      <w:rFonts w:ascii="Palatino" w:eastAsia="Palatino" w:hAnsi="Palatino" w:cs="Palatino"/>
      <w:sz w:val="36"/>
    </w:rPr>
  </w:style>
  <w:style w:type="paragraph" w:styleId="Heading2">
    <w:name w:val="heading 2"/>
    <w:basedOn w:val="Normal"/>
    <w:next w:val="Normal"/>
    <w:pPr>
      <w:spacing w:before="120" w:after="160"/>
      <w:contextualSpacing/>
      <w:outlineLvl w:val="1"/>
    </w:pPr>
    <w:rPr>
      <w:rFonts w:ascii="Arial" w:eastAsia="Arial" w:hAnsi="Arial" w:cs="Arial"/>
      <w:b/>
      <w:sz w:val="26"/>
    </w:rPr>
  </w:style>
  <w:style w:type="paragraph" w:styleId="Heading3">
    <w:name w:val="heading 3"/>
    <w:basedOn w:val="Normal"/>
    <w:next w:val="Normal"/>
    <w:pPr>
      <w:spacing w:before="120" w:after="160"/>
      <w:contextualSpacing/>
      <w:outlineLvl w:val="2"/>
    </w:pPr>
    <w:rPr>
      <w:rFonts w:ascii="Arial" w:eastAsia="Arial" w:hAnsi="Arial" w:cs="Arial"/>
      <w:b/>
      <w:i/>
      <w:color w:val="666666"/>
      <w:sz w:val="24"/>
    </w:rPr>
  </w:style>
  <w:style w:type="paragraph" w:styleId="Heading4">
    <w:name w:val="heading 4"/>
    <w:basedOn w:val="Normal"/>
    <w:next w:val="Normal"/>
    <w:pPr>
      <w:spacing w:before="120" w:after="120"/>
      <w:contextualSpacing/>
      <w:outlineLvl w:val="3"/>
    </w:pPr>
    <w:rPr>
      <w:rFonts w:ascii="Palatino" w:eastAsia="Palatino" w:hAnsi="Palatino" w:cs="Palatino"/>
      <w:b/>
      <w:sz w:val="24"/>
    </w:rPr>
  </w:style>
  <w:style w:type="paragraph" w:styleId="Heading5">
    <w:name w:val="heading 5"/>
    <w:basedOn w:val="Normal"/>
    <w:next w:val="Normal"/>
    <w:pPr>
      <w:spacing w:before="120" w:after="120"/>
      <w:contextualSpacing/>
      <w:outlineLvl w:val="4"/>
    </w:pPr>
    <w:rPr>
      <w:rFonts w:ascii="Arial" w:eastAsia="Arial" w:hAnsi="Arial" w:cs="Arial"/>
      <w:b/>
      <w:sz w:val="22"/>
    </w:rPr>
  </w:style>
  <w:style w:type="paragraph" w:styleId="Heading6">
    <w:name w:val="heading 6"/>
    <w:basedOn w:val="Normal"/>
    <w:next w:val="Normal"/>
    <w:pPr>
      <w:spacing w:before="120" w:after="120"/>
      <w:contextualSpacing/>
      <w:outlineLvl w:val="5"/>
    </w:pPr>
    <w:rPr>
      <w:rFonts w:ascii="Arial" w:eastAsia="Arial" w:hAnsi="Arial" w:cs="Arial"/>
      <w:i/>
      <w:color w:val="666666"/>
      <w:sz w:val="22"/>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contextualSpacing/>
    </w:pPr>
    <w:rPr>
      <w:rFonts w:ascii="Palatino" w:eastAsia="Palatino" w:hAnsi="Palatino" w:cs="Palatino"/>
      <w:sz w:val="60"/>
    </w:rPr>
  </w:style>
  <w:style w:type="paragraph" w:styleId="Subtitle">
    <w:name w:val="Subtitle"/>
    <w:basedOn w:val="Normal"/>
    <w:next w:val="Normal"/>
    <w:pPr>
      <w:spacing w:before="60"/>
      <w:contextualSpacing/>
    </w:pPr>
    <w:rPr>
      <w:rFonts w:ascii="Arial" w:eastAsia="Arial" w:hAnsi="Arial" w:cs="Arial"/>
    </w:rPr>
  </w:style>
  <w:style w:type="paragraph" w:customStyle="1" w:styleId="paragraph">
    <w:name w:val="paragraph"/>
    <w:basedOn w:val="Normal"/>
    <w:next w:val="Normal"/>
    <w:pPr>
      <w:contextualSpacing/>
    </w:pPr>
  </w:style>
  <w:style w:type="paragraph" w:customStyle="1" w:styleId="paragraphheader">
    <w:name w:val="paragraph_header"/>
    <w:basedOn w:val="Normal"/>
    <w:next w:val="Normal"/>
    <w:pPr>
      <w:spacing w:before="280" w:after="280"/>
      <w:contextualSpacing/>
    </w:pPr>
  </w:style>
  <w:style w:type="paragraph" w:styleId="Header">
    <w:name w:val="header"/>
    <w:basedOn w:val="Normal"/>
    <w:next w:val="Normal"/>
    <w:pPr>
      <w:spacing w:after="280"/>
      <w:contextualSpacing/>
      <w:jc w:val="right"/>
    </w:pPr>
    <w:rPr>
      <w:sz w:val="24"/>
    </w:rPr>
  </w:style>
  <w:style w:type="paragraph" w:customStyle="1" w:styleId="signeddocumentparagraph">
    <w:name w:val="signed_document_paragraph"/>
    <w:basedOn w:val="Normal"/>
    <w:next w:val="Normal"/>
    <w:pPr>
      <w:contextualSpacing/>
      <w:jc w:val="right"/>
    </w:pPr>
    <w:rPr>
      <w:sz w:val="24"/>
    </w:rPr>
  </w:style>
  <w:style w:type="paragraph" w:customStyle="1" w:styleId="paragraphtitle">
    <w:name w:val="paragraph_title"/>
    <w:basedOn w:val="Normal"/>
    <w:next w:val="Normal"/>
    <w:pPr>
      <w:spacing w:before="280"/>
      <w:contextualSpacing/>
      <w:jc w:val="center"/>
    </w:pPr>
    <w:rPr>
      <w:caps/>
    </w:rPr>
  </w:style>
  <w:style w:type="table" w:customStyle="1" w:styleId="a">
    <w:basedOn w:val="TableNormal"/>
    <w:tblPr>
      <w:tblStyleRowBandSize w:val="1"/>
      <w:tblStyleColBandSize w:val="1"/>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color w:val="333333"/>
        <w:sz w:val="28"/>
        <w:lang w:val="lv-LV" w:eastAsia="lv-LV" w:bidi="ar-SA"/>
      </w:rPr>
    </w:rPrDefault>
    <w:pPrDefault>
      <w:pPr>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tyle>
  <w:style w:type="paragraph" w:styleId="Heading1">
    <w:name w:val="heading 1"/>
    <w:basedOn w:val="Normal"/>
    <w:next w:val="Normal"/>
    <w:pPr>
      <w:spacing w:after="120"/>
      <w:contextualSpacing/>
      <w:outlineLvl w:val="0"/>
    </w:pPr>
    <w:rPr>
      <w:rFonts w:ascii="Palatino" w:eastAsia="Palatino" w:hAnsi="Palatino" w:cs="Palatino"/>
      <w:sz w:val="36"/>
    </w:rPr>
  </w:style>
  <w:style w:type="paragraph" w:styleId="Heading2">
    <w:name w:val="heading 2"/>
    <w:basedOn w:val="Normal"/>
    <w:next w:val="Normal"/>
    <w:pPr>
      <w:spacing w:before="120" w:after="160"/>
      <w:contextualSpacing/>
      <w:outlineLvl w:val="1"/>
    </w:pPr>
    <w:rPr>
      <w:rFonts w:ascii="Arial" w:eastAsia="Arial" w:hAnsi="Arial" w:cs="Arial"/>
      <w:b/>
      <w:sz w:val="26"/>
    </w:rPr>
  </w:style>
  <w:style w:type="paragraph" w:styleId="Heading3">
    <w:name w:val="heading 3"/>
    <w:basedOn w:val="Normal"/>
    <w:next w:val="Normal"/>
    <w:pPr>
      <w:spacing w:before="120" w:after="160"/>
      <w:contextualSpacing/>
      <w:outlineLvl w:val="2"/>
    </w:pPr>
    <w:rPr>
      <w:rFonts w:ascii="Arial" w:eastAsia="Arial" w:hAnsi="Arial" w:cs="Arial"/>
      <w:b/>
      <w:i/>
      <w:color w:val="666666"/>
      <w:sz w:val="24"/>
    </w:rPr>
  </w:style>
  <w:style w:type="paragraph" w:styleId="Heading4">
    <w:name w:val="heading 4"/>
    <w:basedOn w:val="Normal"/>
    <w:next w:val="Normal"/>
    <w:pPr>
      <w:spacing w:before="120" w:after="120"/>
      <w:contextualSpacing/>
      <w:outlineLvl w:val="3"/>
    </w:pPr>
    <w:rPr>
      <w:rFonts w:ascii="Palatino" w:eastAsia="Palatino" w:hAnsi="Palatino" w:cs="Palatino"/>
      <w:b/>
      <w:sz w:val="24"/>
    </w:rPr>
  </w:style>
  <w:style w:type="paragraph" w:styleId="Heading5">
    <w:name w:val="heading 5"/>
    <w:basedOn w:val="Normal"/>
    <w:next w:val="Normal"/>
    <w:pPr>
      <w:spacing w:before="120" w:after="120"/>
      <w:contextualSpacing/>
      <w:outlineLvl w:val="4"/>
    </w:pPr>
    <w:rPr>
      <w:rFonts w:ascii="Arial" w:eastAsia="Arial" w:hAnsi="Arial" w:cs="Arial"/>
      <w:b/>
      <w:sz w:val="22"/>
    </w:rPr>
  </w:style>
  <w:style w:type="paragraph" w:styleId="Heading6">
    <w:name w:val="heading 6"/>
    <w:basedOn w:val="Normal"/>
    <w:next w:val="Normal"/>
    <w:pPr>
      <w:spacing w:before="120" w:after="120"/>
      <w:contextualSpacing/>
      <w:outlineLvl w:val="5"/>
    </w:pPr>
    <w:rPr>
      <w:rFonts w:ascii="Arial" w:eastAsia="Arial" w:hAnsi="Arial" w:cs="Arial"/>
      <w:i/>
      <w:color w:val="666666"/>
      <w:sz w:val="22"/>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contextualSpacing/>
    </w:pPr>
    <w:rPr>
      <w:rFonts w:ascii="Palatino" w:eastAsia="Palatino" w:hAnsi="Palatino" w:cs="Palatino"/>
      <w:sz w:val="60"/>
    </w:rPr>
  </w:style>
  <w:style w:type="paragraph" w:styleId="Subtitle">
    <w:name w:val="Subtitle"/>
    <w:basedOn w:val="Normal"/>
    <w:next w:val="Normal"/>
    <w:pPr>
      <w:spacing w:before="60"/>
      <w:contextualSpacing/>
    </w:pPr>
    <w:rPr>
      <w:rFonts w:ascii="Arial" w:eastAsia="Arial" w:hAnsi="Arial" w:cs="Arial"/>
    </w:rPr>
  </w:style>
  <w:style w:type="paragraph" w:customStyle="1" w:styleId="paragraph">
    <w:name w:val="paragraph"/>
    <w:basedOn w:val="Normal"/>
    <w:next w:val="Normal"/>
    <w:pPr>
      <w:contextualSpacing/>
    </w:pPr>
  </w:style>
  <w:style w:type="paragraph" w:customStyle="1" w:styleId="paragraphheader">
    <w:name w:val="paragraph_header"/>
    <w:basedOn w:val="Normal"/>
    <w:next w:val="Normal"/>
    <w:pPr>
      <w:spacing w:before="280" w:after="280"/>
      <w:contextualSpacing/>
    </w:pPr>
  </w:style>
  <w:style w:type="paragraph" w:styleId="Header">
    <w:name w:val="header"/>
    <w:basedOn w:val="Normal"/>
    <w:next w:val="Normal"/>
    <w:pPr>
      <w:spacing w:after="280"/>
      <w:contextualSpacing/>
      <w:jc w:val="right"/>
    </w:pPr>
    <w:rPr>
      <w:sz w:val="24"/>
    </w:rPr>
  </w:style>
  <w:style w:type="paragraph" w:customStyle="1" w:styleId="signeddocumentparagraph">
    <w:name w:val="signed_document_paragraph"/>
    <w:basedOn w:val="Normal"/>
    <w:next w:val="Normal"/>
    <w:pPr>
      <w:contextualSpacing/>
      <w:jc w:val="right"/>
    </w:pPr>
    <w:rPr>
      <w:sz w:val="24"/>
    </w:rPr>
  </w:style>
  <w:style w:type="paragraph" w:customStyle="1" w:styleId="paragraphtitle">
    <w:name w:val="paragraph_title"/>
    <w:basedOn w:val="Normal"/>
    <w:next w:val="Normal"/>
    <w:pPr>
      <w:spacing w:before="280"/>
      <w:contextualSpacing/>
      <w:jc w:val="center"/>
    </w:pPr>
    <w:rPr>
      <w:caps/>
    </w:rPr>
  </w:style>
  <w:style w:type="table" w:customStyle="1" w:styleId="a">
    <w:basedOn w:val="TableNormal"/>
    <w:tblPr>
      <w:tblStyleRowBandSize w:val="1"/>
      <w:tblStyleColBandSize w:val="1"/>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3166</Words>
  <Characters>1806</Characters>
  <Application>Microsoft Office Word</Application>
  <DocSecurity>0</DocSecurity>
  <Lines>15</Lines>
  <Paragraphs>9</Paragraphs>
  <ScaleCrop>false</ScaleCrop>
  <HeadingPairs>
    <vt:vector size="2" baseType="variant">
      <vt:variant>
        <vt:lpstr>Title</vt:lpstr>
      </vt:variant>
      <vt:variant>
        <vt:i4>1</vt:i4>
      </vt:variant>
    </vt:vector>
  </HeadingPairs>
  <TitlesOfParts>
    <vt:vector size="1" baseType="lpstr">
      <vt:lpstr>mk_sēdes_protokollēmuma_projekts_22-TA-1933.docx</vt:lpstr>
    </vt:vector>
  </TitlesOfParts>
  <Company/>
  <LinksUpToDate>false</LinksUpToDate>
  <CharactersWithSpaces>4963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mk_sēdes_protokollēmuma_projekts_22-TA-1933.docx</dc:title>
  <dc:creator>Evija</dc:creator>
  <cp:lastModifiedBy>Māra Keiša</cp:lastModifiedBy>
  <cp:revision>2</cp:revision>
  <dcterms:created xsi:type="dcterms:W3CDTF">2022-06-29T07:25:00Z</dcterms:created>
  <dcterms:modified xsi:type="dcterms:W3CDTF">2022-06-29T07:25:00Z</dcterms:modified>
</cp:coreProperties>
</file>