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EA" w:rsidRPr="005C32EA" w:rsidRDefault="005C32EA" w:rsidP="005C32EA">
      <w:pPr>
        <w:spacing w:after="0" w:line="240" w:lineRule="auto"/>
        <w:ind w:left="720"/>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1.</w:t>
      </w:r>
      <w:r w:rsidRPr="005C32EA">
        <w:rPr>
          <w:rFonts w:ascii="Times New Roman" w:hAnsi="Times New Roman" w:cs="Times New Roman"/>
          <w:sz w:val="24"/>
          <w:szCs w:val="24"/>
        </w:rPr>
        <w:t xml:space="preserve">pielikums informatīvajam ziņojumam  </w:t>
      </w:r>
    </w:p>
    <w:p w:rsidR="005C32EA" w:rsidRDefault="005C32EA" w:rsidP="005C32EA">
      <w:pPr>
        <w:spacing w:after="0" w:line="240" w:lineRule="auto"/>
        <w:jc w:val="right"/>
        <w:rPr>
          <w:rFonts w:ascii="Times New Roman" w:hAnsi="Times New Roman" w:cs="Times New Roman"/>
          <w:sz w:val="24"/>
          <w:szCs w:val="24"/>
        </w:rPr>
      </w:pPr>
      <w:r w:rsidRPr="005C32EA">
        <w:rPr>
          <w:rFonts w:ascii="Times New Roman" w:hAnsi="Times New Roman" w:cs="Times New Roman"/>
          <w:sz w:val="24"/>
          <w:szCs w:val="24"/>
        </w:rPr>
        <w:t xml:space="preserve">“Par atbalsta pasākumiem energoresursu cenu </w:t>
      </w:r>
    </w:p>
    <w:p w:rsidR="005C32EA" w:rsidRDefault="005C32EA" w:rsidP="005C32EA">
      <w:pPr>
        <w:spacing w:after="0" w:line="240" w:lineRule="auto"/>
        <w:jc w:val="right"/>
        <w:rPr>
          <w:rFonts w:ascii="Times New Roman" w:hAnsi="Times New Roman" w:cs="Times New Roman"/>
          <w:sz w:val="24"/>
          <w:szCs w:val="24"/>
        </w:rPr>
      </w:pPr>
      <w:r w:rsidRPr="005C32EA">
        <w:rPr>
          <w:rFonts w:ascii="Times New Roman" w:hAnsi="Times New Roman" w:cs="Times New Roman"/>
          <w:sz w:val="24"/>
          <w:szCs w:val="24"/>
        </w:rPr>
        <w:t xml:space="preserve">un vispārējās inflācijas pieauguma ietekmes mazināšanai </w:t>
      </w:r>
    </w:p>
    <w:p w:rsidR="005C32EA" w:rsidRDefault="005C32EA" w:rsidP="005C32EA">
      <w:pPr>
        <w:spacing w:after="0" w:line="240" w:lineRule="auto"/>
        <w:jc w:val="right"/>
        <w:rPr>
          <w:rFonts w:ascii="Times New Roman" w:hAnsi="Times New Roman" w:cs="Times New Roman"/>
          <w:sz w:val="24"/>
          <w:szCs w:val="24"/>
        </w:rPr>
      </w:pPr>
      <w:r w:rsidRPr="005C32EA">
        <w:rPr>
          <w:rFonts w:ascii="Times New Roman" w:hAnsi="Times New Roman" w:cs="Times New Roman"/>
          <w:sz w:val="24"/>
          <w:szCs w:val="24"/>
        </w:rPr>
        <w:t>mazaizsargātajām iedzīvotāju grupām”</w:t>
      </w:r>
    </w:p>
    <w:p w:rsidR="009437D5" w:rsidRDefault="009437D5" w:rsidP="005C32EA">
      <w:pPr>
        <w:spacing w:after="0" w:line="240" w:lineRule="auto"/>
        <w:jc w:val="right"/>
        <w:rPr>
          <w:rFonts w:ascii="Times New Roman" w:hAnsi="Times New Roman" w:cs="Times New Roman"/>
          <w:sz w:val="24"/>
          <w:szCs w:val="24"/>
        </w:rPr>
      </w:pPr>
    </w:p>
    <w:p w:rsidR="00C03E62" w:rsidRDefault="00C03E62" w:rsidP="00C03E62">
      <w:pPr>
        <w:rPr>
          <w:rFonts w:ascii="Times New Roman" w:hAnsi="Times New Roman" w:cs="Times New Roman"/>
          <w:b/>
          <w:i/>
          <w:sz w:val="24"/>
          <w:szCs w:val="24"/>
        </w:rPr>
      </w:pPr>
    </w:p>
    <w:p w:rsidR="00265AD0" w:rsidRDefault="00265AD0" w:rsidP="00265AD0">
      <w:pPr>
        <w:spacing w:after="0" w:line="240" w:lineRule="auto"/>
        <w:jc w:val="center"/>
        <w:rPr>
          <w:rFonts w:ascii="Times New Roman" w:eastAsia="Times New Roman" w:hAnsi="Times New Roman" w:cs="Times New Roman"/>
          <w:b/>
          <w:bCs/>
          <w:sz w:val="24"/>
          <w:szCs w:val="24"/>
        </w:rPr>
      </w:pPr>
      <w:r w:rsidRPr="00C73E8B">
        <w:rPr>
          <w:rFonts w:ascii="Times New Roman" w:eastAsia="Times New Roman" w:hAnsi="Times New Roman" w:cs="Times New Roman"/>
          <w:b/>
          <w:bCs/>
          <w:sz w:val="24"/>
          <w:szCs w:val="24"/>
        </w:rPr>
        <w:t xml:space="preserve">Igaunijā izveidotie atbalsta mehānismi </w:t>
      </w:r>
    </w:p>
    <w:p w:rsidR="00265AD0" w:rsidRPr="00C73E8B" w:rsidRDefault="00265AD0" w:rsidP="00265AD0">
      <w:pPr>
        <w:spacing w:after="0" w:line="240" w:lineRule="auto"/>
        <w:jc w:val="center"/>
        <w:rPr>
          <w:rFonts w:ascii="Times New Roman" w:eastAsia="Times New Roman" w:hAnsi="Times New Roman" w:cs="Times New Roman"/>
          <w:b/>
          <w:bCs/>
          <w:sz w:val="24"/>
          <w:szCs w:val="24"/>
          <w:vertAlign w:val="superscript"/>
        </w:rPr>
      </w:pPr>
      <w:r w:rsidRPr="00C73E8B">
        <w:rPr>
          <w:rFonts w:ascii="Times New Roman" w:eastAsia="Times New Roman" w:hAnsi="Times New Roman" w:cs="Times New Roman"/>
          <w:b/>
          <w:bCs/>
          <w:sz w:val="24"/>
          <w:szCs w:val="24"/>
        </w:rPr>
        <w:t>energoresursu cenu sadārdzinājuma kompensēšanai</w:t>
      </w:r>
      <w:r w:rsidRPr="00C73E8B">
        <w:rPr>
          <w:rFonts w:ascii="Times New Roman" w:eastAsia="Times New Roman" w:hAnsi="Times New Roman" w:cs="Times New Roman"/>
          <w:b/>
          <w:bCs/>
          <w:sz w:val="24"/>
          <w:szCs w:val="24"/>
          <w:vertAlign w:val="superscript"/>
        </w:rPr>
        <w:footnoteReference w:id="1"/>
      </w:r>
      <w:r w:rsidRPr="00C73E8B">
        <w:rPr>
          <w:rFonts w:ascii="Times New Roman" w:eastAsia="Times New Roman" w:hAnsi="Times New Roman" w:cs="Times New Roman"/>
          <w:b/>
          <w:bCs/>
          <w:sz w:val="24"/>
          <w:szCs w:val="24"/>
          <w:vertAlign w:val="superscript"/>
        </w:rPr>
        <w:t xml:space="preserve">, </w:t>
      </w:r>
      <w:r w:rsidRPr="00C73E8B">
        <w:rPr>
          <w:rFonts w:ascii="Times New Roman" w:eastAsia="Times New Roman" w:hAnsi="Times New Roman" w:cs="Times New Roman"/>
          <w:b/>
          <w:bCs/>
          <w:sz w:val="24"/>
          <w:szCs w:val="24"/>
          <w:vertAlign w:val="superscript"/>
        </w:rPr>
        <w:footnoteReference w:id="2"/>
      </w:r>
      <w:r w:rsidRPr="00C73E8B">
        <w:rPr>
          <w:rFonts w:ascii="Times New Roman" w:eastAsia="Times New Roman" w:hAnsi="Times New Roman" w:cs="Times New Roman"/>
          <w:b/>
          <w:bCs/>
          <w:sz w:val="24"/>
          <w:szCs w:val="24"/>
          <w:vertAlign w:val="superscript"/>
        </w:rPr>
        <w:t>,</w:t>
      </w:r>
      <w:r>
        <w:rPr>
          <w:rFonts w:ascii="Times New Roman" w:eastAsia="Times New Roman" w:hAnsi="Times New Roman" w:cs="Times New Roman"/>
          <w:b/>
          <w:bCs/>
          <w:sz w:val="24"/>
          <w:szCs w:val="24"/>
          <w:vertAlign w:val="superscript"/>
        </w:rPr>
        <w:t xml:space="preserve"> </w:t>
      </w:r>
      <w:r w:rsidRPr="00C73E8B">
        <w:rPr>
          <w:rFonts w:ascii="Times New Roman" w:eastAsia="Times New Roman" w:hAnsi="Times New Roman" w:cs="Times New Roman"/>
          <w:b/>
          <w:bCs/>
          <w:sz w:val="24"/>
          <w:szCs w:val="24"/>
          <w:vertAlign w:val="superscript"/>
        </w:rPr>
        <w:footnoteReference w:id="3"/>
      </w:r>
    </w:p>
    <w:p w:rsidR="00265AD0" w:rsidRPr="00C73E8B" w:rsidRDefault="00265AD0" w:rsidP="00265AD0">
      <w:pPr>
        <w:spacing w:after="0" w:line="240" w:lineRule="auto"/>
        <w:jc w:val="both"/>
        <w:rPr>
          <w:rFonts w:ascii="Times New Roman" w:eastAsia="Times New Roman" w:hAnsi="Times New Roman" w:cs="Times New Roman"/>
          <w:b/>
          <w:bCs/>
          <w:sz w:val="24"/>
          <w:szCs w:val="24"/>
        </w:rPr>
      </w:pPr>
    </w:p>
    <w:p w:rsidR="00265AD0" w:rsidRDefault="00265AD0" w:rsidP="00265AD0">
      <w:pPr>
        <w:spacing w:after="0" w:line="240" w:lineRule="auto"/>
        <w:ind w:firstLine="720"/>
        <w:jc w:val="both"/>
        <w:rPr>
          <w:rFonts w:ascii="Times New Roman" w:eastAsia="Times New Roman" w:hAnsi="Times New Roman" w:cs="Times New Roman"/>
          <w:sz w:val="24"/>
          <w:szCs w:val="24"/>
        </w:rPr>
      </w:pPr>
      <w:r w:rsidRPr="00C73E8B">
        <w:rPr>
          <w:rFonts w:ascii="Times New Roman" w:eastAsia="Times New Roman" w:hAnsi="Times New Roman" w:cs="Times New Roman"/>
          <w:bCs/>
          <w:sz w:val="24"/>
          <w:szCs w:val="24"/>
        </w:rPr>
        <w:t>Igaunijā</w:t>
      </w:r>
      <w:r w:rsidRPr="00C73E8B">
        <w:rPr>
          <w:rFonts w:ascii="Times New Roman" w:eastAsia="Times New Roman" w:hAnsi="Times New Roman" w:cs="Times New Roman"/>
          <w:sz w:val="24"/>
          <w:szCs w:val="24"/>
        </w:rPr>
        <w:t xml:space="preserve"> sadārdzinājums tiek kompensēts plašam iedzīvotāju lokam. Ir ieviesti vairāki kompensācijas mehānismi, kas vērsti gan uz mājsaimniecībām, gan biznesa klientiem (komersantiem). Iedzīvotājiem paredzētais atbalsts ir gan automātisks - vērsts uz rēķinu samazināšanu visiem privātajiem patērētājiem, gan uz iesnieguma pamata un izvērtējot ienākumus - vērsts uz mājsaimniecībām, kuru ienākumi ir zemāki par vidējo ienākumu līmeni. </w:t>
      </w:r>
    </w:p>
    <w:p w:rsidR="00265AD0" w:rsidRPr="00C73E8B" w:rsidRDefault="00265AD0" w:rsidP="00265AD0">
      <w:pPr>
        <w:spacing w:after="0" w:line="240" w:lineRule="auto"/>
        <w:jc w:val="both"/>
        <w:rPr>
          <w:rFonts w:ascii="Times New Roman" w:eastAsia="Times New Roman" w:hAnsi="Times New Roman" w:cs="Times New Roman"/>
          <w:sz w:val="24"/>
          <w:szCs w:val="24"/>
        </w:rPr>
      </w:pPr>
    </w:p>
    <w:p w:rsidR="00265AD0" w:rsidRPr="00C73E8B" w:rsidRDefault="00265AD0" w:rsidP="00265AD0">
      <w:pPr>
        <w:spacing w:after="0" w:line="240" w:lineRule="auto"/>
        <w:jc w:val="both"/>
        <w:rPr>
          <w:rFonts w:ascii="Times New Roman" w:eastAsia="Times New Roman" w:hAnsi="Times New Roman" w:cs="Times New Roman"/>
          <w:b/>
          <w:sz w:val="24"/>
          <w:szCs w:val="24"/>
        </w:rPr>
      </w:pPr>
      <w:r w:rsidRPr="00C73E8B">
        <w:rPr>
          <w:rFonts w:ascii="Times New Roman" w:eastAsia="Times New Roman" w:hAnsi="Times New Roman" w:cs="Times New Roman"/>
          <w:b/>
          <w:sz w:val="24"/>
          <w:szCs w:val="24"/>
        </w:rPr>
        <w:t>Kompensācija par centralizēto siltumapgādi mājsaimniecībām</w:t>
      </w:r>
    </w:p>
    <w:p w:rsidR="00265AD0" w:rsidRPr="00C73E8B" w:rsidRDefault="00265AD0" w:rsidP="00265AD0">
      <w:pPr>
        <w:spacing w:after="0" w:line="240" w:lineRule="auto"/>
        <w:jc w:val="both"/>
        <w:rPr>
          <w:rFonts w:ascii="Times New Roman" w:eastAsia="Times New Roman" w:hAnsi="Times New Roman" w:cs="Times New Roman"/>
          <w:b/>
          <w:sz w:val="24"/>
          <w:szCs w:val="24"/>
        </w:rPr>
      </w:pPr>
    </w:p>
    <w:p w:rsidR="00265AD0" w:rsidRPr="00C73E8B" w:rsidRDefault="00265AD0" w:rsidP="001B1064">
      <w:pPr>
        <w:spacing w:before="120" w:after="0" w:line="240" w:lineRule="auto"/>
        <w:ind w:firstLine="720"/>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rPr>
        <w:t xml:space="preserve">Valsts 2022.gada februārī un martā noteica </w:t>
      </w:r>
      <w:r w:rsidRPr="00C73E8B">
        <w:rPr>
          <w:rFonts w:ascii="Times New Roman" w:eastAsia="Times New Roman" w:hAnsi="Times New Roman" w:cs="Times New Roman"/>
          <w:sz w:val="24"/>
          <w:szCs w:val="24"/>
          <w:u w:val="single"/>
        </w:rPr>
        <w:t>automātisku</w:t>
      </w:r>
      <w:r w:rsidRPr="00C73E8B">
        <w:rPr>
          <w:rFonts w:ascii="Times New Roman" w:eastAsia="Times New Roman" w:hAnsi="Times New Roman" w:cs="Times New Roman"/>
          <w:sz w:val="24"/>
          <w:szCs w:val="24"/>
        </w:rPr>
        <w:t xml:space="preserve"> kompensāciju mājsaimniecību patērētājiem, kas kompensēja 65% no centralizētās siltumapgādes rēķina daļas, kas pārsniedz vienības cenas līmeni 2021.gada oktobrī.</w:t>
      </w:r>
    </w:p>
    <w:p w:rsidR="00265AD0" w:rsidRDefault="00265AD0" w:rsidP="001B1064">
      <w:pPr>
        <w:spacing w:before="120" w:after="0" w:line="240" w:lineRule="auto"/>
        <w:ind w:firstLine="720"/>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rPr>
        <w:t>Patērētājam, lai saņemtu kompensāciju, nekas nav jādara, tiek saņemts rēķins no enerģijas pārdevēja, kur jau ir atvilkta daļa, kas pārsniedz cenas griestus. Centrālās siltumapgādes uzņēmumiem kompensācijas tiek izmaksātas ar Vides investīciju centra starpniecību.</w:t>
      </w:r>
    </w:p>
    <w:p w:rsidR="00265AD0" w:rsidRPr="00C73E8B" w:rsidRDefault="00265AD0" w:rsidP="001B1064">
      <w:pPr>
        <w:spacing w:before="120" w:after="0" w:line="240" w:lineRule="auto"/>
        <w:ind w:firstLine="720"/>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rPr>
        <w:t>Izstrādātājs: Ekonomikas un komunikāciju ministrija</w:t>
      </w:r>
      <w:r w:rsidR="001B1064">
        <w:rPr>
          <w:rFonts w:ascii="Times New Roman" w:eastAsia="Times New Roman" w:hAnsi="Times New Roman" w:cs="Times New Roman"/>
          <w:sz w:val="24"/>
          <w:szCs w:val="24"/>
        </w:rPr>
        <w:t>.</w:t>
      </w:r>
    </w:p>
    <w:p w:rsidR="00265AD0" w:rsidRPr="00C73E8B" w:rsidRDefault="00265AD0" w:rsidP="00265AD0">
      <w:pPr>
        <w:spacing w:after="0" w:line="240" w:lineRule="auto"/>
        <w:jc w:val="both"/>
        <w:rPr>
          <w:rFonts w:ascii="Times New Roman" w:eastAsia="Times New Roman" w:hAnsi="Times New Roman" w:cs="Times New Roman"/>
          <w:sz w:val="24"/>
          <w:szCs w:val="24"/>
        </w:rPr>
      </w:pPr>
    </w:p>
    <w:p w:rsidR="00265AD0" w:rsidRPr="00C73E8B" w:rsidRDefault="00265AD0" w:rsidP="00265AD0">
      <w:pPr>
        <w:spacing w:after="0" w:line="240" w:lineRule="auto"/>
        <w:jc w:val="both"/>
        <w:rPr>
          <w:rFonts w:ascii="Times New Roman" w:eastAsia="Times New Roman" w:hAnsi="Times New Roman" w:cs="Times New Roman"/>
          <w:b/>
          <w:sz w:val="24"/>
          <w:szCs w:val="24"/>
        </w:rPr>
      </w:pPr>
      <w:r w:rsidRPr="00C73E8B">
        <w:rPr>
          <w:rFonts w:ascii="Times New Roman" w:eastAsia="Times New Roman" w:hAnsi="Times New Roman" w:cs="Times New Roman"/>
          <w:b/>
          <w:sz w:val="24"/>
          <w:szCs w:val="24"/>
        </w:rPr>
        <w:t>Cenu limits elektrības un gāzes rēķiniem mājsaimniecību klientiem</w:t>
      </w:r>
    </w:p>
    <w:p w:rsidR="00265AD0" w:rsidRPr="00C73E8B" w:rsidRDefault="00265AD0" w:rsidP="00265AD0">
      <w:pPr>
        <w:spacing w:after="0" w:line="240" w:lineRule="auto"/>
        <w:jc w:val="both"/>
        <w:rPr>
          <w:rFonts w:ascii="Times New Roman" w:eastAsia="Times New Roman" w:hAnsi="Times New Roman" w:cs="Times New Roman"/>
          <w:sz w:val="24"/>
          <w:szCs w:val="24"/>
        </w:rPr>
      </w:pPr>
    </w:p>
    <w:p w:rsidR="00265AD0" w:rsidRPr="00C73E8B" w:rsidRDefault="00265AD0" w:rsidP="00265AD0">
      <w:pPr>
        <w:spacing w:after="0" w:line="240" w:lineRule="auto"/>
        <w:ind w:firstLine="720"/>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rPr>
        <w:t xml:space="preserve">No 2022. gada janvāra līdz martam tika noteikts cenu ierobežojums par elektrības un gāzes rēķiniem, atlikušo daļu valsts </w:t>
      </w:r>
      <w:r w:rsidRPr="00C73E8B">
        <w:rPr>
          <w:rFonts w:ascii="Times New Roman" w:eastAsia="Times New Roman" w:hAnsi="Times New Roman" w:cs="Times New Roman"/>
          <w:sz w:val="24"/>
          <w:szCs w:val="24"/>
          <w:u w:val="single"/>
        </w:rPr>
        <w:t>automātiski</w:t>
      </w:r>
      <w:r w:rsidRPr="00C73E8B">
        <w:rPr>
          <w:rFonts w:ascii="Times New Roman" w:eastAsia="Times New Roman" w:hAnsi="Times New Roman" w:cs="Times New Roman"/>
          <w:sz w:val="24"/>
          <w:szCs w:val="24"/>
        </w:rPr>
        <w:t xml:space="preserve"> kompensē privātajiem patērētājiem:</w:t>
      </w:r>
    </w:p>
    <w:p w:rsidR="00265AD0" w:rsidRPr="00C73E8B" w:rsidRDefault="00265AD0" w:rsidP="00265AD0">
      <w:pPr>
        <w:spacing w:after="0" w:line="240" w:lineRule="auto"/>
        <w:jc w:val="both"/>
        <w:rPr>
          <w:rFonts w:ascii="Times New Roman" w:eastAsia="Times New Roman" w:hAnsi="Times New Roman" w:cs="Times New Roman"/>
          <w:sz w:val="24"/>
          <w:szCs w:val="24"/>
        </w:rPr>
      </w:pPr>
    </w:p>
    <w:p w:rsidR="00265AD0" w:rsidRPr="00C73E8B" w:rsidRDefault="00265AD0" w:rsidP="00265AD0">
      <w:pPr>
        <w:spacing w:after="0" w:line="240" w:lineRule="auto"/>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rPr>
        <w:t>1) cenu griesti mājsaimniecības patērētājiem 12 centi par kWh (+ PVN) par elektr</w:t>
      </w:r>
      <w:r>
        <w:rPr>
          <w:rFonts w:ascii="Times New Roman" w:eastAsia="Times New Roman" w:hAnsi="Times New Roman" w:cs="Times New Roman"/>
          <w:sz w:val="24"/>
          <w:szCs w:val="24"/>
        </w:rPr>
        <w:t xml:space="preserve">oenerģijas patēriņu līdz 650 </w:t>
      </w:r>
      <w:proofErr w:type="spellStart"/>
      <w:r>
        <w:rPr>
          <w:rFonts w:ascii="Times New Roman" w:eastAsia="Times New Roman" w:hAnsi="Times New Roman" w:cs="Times New Roman"/>
          <w:sz w:val="24"/>
          <w:szCs w:val="24"/>
        </w:rPr>
        <w:t>kw</w:t>
      </w:r>
      <w:r w:rsidRPr="00C73E8B">
        <w:rPr>
          <w:rFonts w:ascii="Times New Roman" w:eastAsia="Times New Roman" w:hAnsi="Times New Roman" w:cs="Times New Roman"/>
          <w:sz w:val="24"/>
          <w:szCs w:val="24"/>
        </w:rPr>
        <w:t>h</w:t>
      </w:r>
      <w:proofErr w:type="spellEnd"/>
      <w:r w:rsidRPr="00C73E8B">
        <w:rPr>
          <w:rFonts w:ascii="Times New Roman" w:eastAsia="Times New Roman" w:hAnsi="Times New Roman" w:cs="Times New Roman"/>
          <w:sz w:val="24"/>
          <w:szCs w:val="24"/>
        </w:rPr>
        <w:t xml:space="preserve"> mēnesī. Tas nozīmē, ja elektroenerģijas cena biržā vai fiksētas cenas paketē pārsniedz 12 centus/kWh, valsts apmaksā šo elektrības rēķina daļu. Cenu griesti ir noteikti elektroenerģijas kā preces pašizmaksai un tai tiek pievienots PVN, 12 centi/kWh neietver tīkla pakalpojuma izmaksas, akcīzes nodokli vai atjaunojamās enerģijas maksājumus.</w:t>
      </w:r>
    </w:p>
    <w:p w:rsidR="00265AD0" w:rsidRPr="00C73E8B" w:rsidRDefault="00265AD0" w:rsidP="00265AD0">
      <w:pPr>
        <w:spacing w:after="0" w:line="240" w:lineRule="auto"/>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rPr>
        <w:lastRenderedPageBreak/>
        <w:t xml:space="preserve"> </w:t>
      </w:r>
    </w:p>
    <w:p w:rsidR="00265AD0" w:rsidRPr="00C73E8B" w:rsidRDefault="00265AD0" w:rsidP="00265AD0">
      <w:pPr>
        <w:spacing w:after="0" w:line="240" w:lineRule="auto"/>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rPr>
        <w:t xml:space="preserve">2) cenu griesti mājsaimniecības patērētājiem ir 6,5 centi par kWh jeb 0,6792 </w:t>
      </w:r>
      <w:proofErr w:type="spellStart"/>
      <w:r w:rsidRPr="00C73E8B">
        <w:rPr>
          <w:rFonts w:ascii="Times New Roman" w:eastAsia="Times New Roman" w:hAnsi="Times New Roman" w:cs="Times New Roman"/>
          <w:sz w:val="24"/>
          <w:szCs w:val="24"/>
        </w:rPr>
        <w:t>euro</w:t>
      </w:r>
      <w:proofErr w:type="spellEnd"/>
      <w:r w:rsidRPr="00C73E8B">
        <w:rPr>
          <w:rFonts w:ascii="Times New Roman" w:eastAsia="Times New Roman" w:hAnsi="Times New Roman" w:cs="Times New Roman"/>
          <w:sz w:val="24"/>
          <w:szCs w:val="24"/>
        </w:rPr>
        <w:t xml:space="preserve"> /m</w:t>
      </w:r>
      <w:r w:rsidRPr="001B1064">
        <w:rPr>
          <w:rFonts w:ascii="Times New Roman" w:eastAsia="Times New Roman" w:hAnsi="Times New Roman" w:cs="Times New Roman"/>
          <w:sz w:val="24"/>
          <w:szCs w:val="24"/>
          <w:vertAlign w:val="superscript"/>
        </w:rPr>
        <w:t>3</w:t>
      </w:r>
      <w:r w:rsidRPr="00C73E8B">
        <w:rPr>
          <w:rFonts w:ascii="Times New Roman" w:eastAsia="Times New Roman" w:hAnsi="Times New Roman" w:cs="Times New Roman"/>
          <w:sz w:val="24"/>
          <w:szCs w:val="24"/>
        </w:rPr>
        <w:t xml:space="preserve"> (+ PVN) par gāzes patēriņu līdz 2,75 </w:t>
      </w:r>
      <w:proofErr w:type="spellStart"/>
      <w:r w:rsidRPr="00C73E8B">
        <w:rPr>
          <w:rFonts w:ascii="Times New Roman" w:eastAsia="Times New Roman" w:hAnsi="Times New Roman" w:cs="Times New Roman"/>
          <w:sz w:val="24"/>
          <w:szCs w:val="24"/>
        </w:rPr>
        <w:t>MWh</w:t>
      </w:r>
      <w:proofErr w:type="spellEnd"/>
      <w:r w:rsidRPr="00C73E8B">
        <w:rPr>
          <w:rFonts w:ascii="Times New Roman" w:eastAsia="Times New Roman" w:hAnsi="Times New Roman" w:cs="Times New Roman"/>
          <w:sz w:val="24"/>
          <w:szCs w:val="24"/>
        </w:rPr>
        <w:t xml:space="preserve"> mēnesī. Daļa, kas pārsniedz cenu griestus, tiek kompensēta.</w:t>
      </w:r>
    </w:p>
    <w:p w:rsidR="00265AD0" w:rsidRPr="00C73E8B" w:rsidRDefault="00265AD0" w:rsidP="001B1064">
      <w:pPr>
        <w:spacing w:before="120" w:after="0" w:line="240" w:lineRule="auto"/>
        <w:ind w:firstLine="720"/>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rPr>
        <w:t>Patērētājam nekas nav jādara, lai saņemtu kompensāciju, tiek saņemts rēķins no enerģijas pārdevēja, kur jau ir atvilkta daļa, kas pārsniedz cenas griestus.</w:t>
      </w:r>
    </w:p>
    <w:p w:rsidR="00265AD0" w:rsidRPr="00C73E8B" w:rsidRDefault="00265AD0" w:rsidP="001B1064">
      <w:pPr>
        <w:spacing w:before="120" w:after="0" w:line="240" w:lineRule="auto"/>
        <w:ind w:firstLine="709"/>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rPr>
        <w:t>Juridiskām personām, kuras pārdod elektroenerģiju mājsaimniecību klientiem, bet nav elektroenerģijas vai gāzes pārdevēji (piemēram, uzņēmumi, kas apsaimnieko daudzdzīvokļu mājas un kooperatīvu vietā iekasē rēķinu par elektrību vai gāzi), kompensācijas saņemšanai Vides investīciju centrā pašām jāiesniedz pieteikums.</w:t>
      </w:r>
    </w:p>
    <w:p w:rsidR="00265AD0" w:rsidRDefault="00265AD0" w:rsidP="001B1064">
      <w:pPr>
        <w:spacing w:before="120" w:after="0" w:line="240" w:lineRule="auto"/>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rPr>
        <w:t>Dzīvokļu vai dārzkopju biedrībām, kuras nav saņēmušas elektroenerģijas vai gāzes pārdevēja rēķinu ar atlaidi, atlaides saņemšanai jāiesniedz iesniegums Vides investīciju centrā.</w:t>
      </w:r>
    </w:p>
    <w:p w:rsidR="00265AD0" w:rsidRPr="00C73E8B" w:rsidRDefault="00265AD0" w:rsidP="001B1064">
      <w:pPr>
        <w:spacing w:before="120" w:after="0" w:line="240" w:lineRule="auto"/>
        <w:ind w:firstLine="720"/>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rPr>
        <w:t>Izstrādātājs: Ekonomikas un komunikāciju ministrija</w:t>
      </w:r>
    </w:p>
    <w:p w:rsidR="00265AD0" w:rsidRPr="00C73E8B" w:rsidRDefault="00265AD0" w:rsidP="00265AD0">
      <w:pPr>
        <w:spacing w:after="0" w:line="240" w:lineRule="auto"/>
        <w:jc w:val="both"/>
        <w:rPr>
          <w:rFonts w:ascii="Times New Roman" w:eastAsia="Times New Roman" w:hAnsi="Times New Roman" w:cs="Times New Roman"/>
          <w:sz w:val="24"/>
          <w:szCs w:val="24"/>
        </w:rPr>
      </w:pPr>
    </w:p>
    <w:p w:rsidR="00265AD0" w:rsidRPr="00C73E8B" w:rsidRDefault="00265AD0" w:rsidP="00265AD0">
      <w:pPr>
        <w:spacing w:after="0" w:line="240" w:lineRule="auto"/>
        <w:jc w:val="both"/>
        <w:rPr>
          <w:rFonts w:ascii="Times New Roman" w:eastAsia="Times New Roman" w:hAnsi="Times New Roman" w:cs="Times New Roman"/>
          <w:b/>
          <w:sz w:val="24"/>
          <w:szCs w:val="24"/>
        </w:rPr>
      </w:pPr>
      <w:r w:rsidRPr="00C73E8B">
        <w:rPr>
          <w:rFonts w:ascii="Times New Roman" w:eastAsia="Times New Roman" w:hAnsi="Times New Roman" w:cs="Times New Roman"/>
          <w:b/>
          <w:sz w:val="24"/>
          <w:szCs w:val="24"/>
        </w:rPr>
        <w:t>Elektrotīkla maksas atmaksa visiem</w:t>
      </w:r>
    </w:p>
    <w:p w:rsidR="00265AD0" w:rsidRPr="00C73E8B" w:rsidRDefault="00265AD0" w:rsidP="00265AD0">
      <w:pPr>
        <w:spacing w:after="0" w:line="240" w:lineRule="auto"/>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rPr>
        <w:t xml:space="preserve"> </w:t>
      </w:r>
    </w:p>
    <w:p w:rsidR="00265AD0" w:rsidRDefault="00265AD0" w:rsidP="001B1064">
      <w:pPr>
        <w:spacing w:before="120" w:after="0" w:line="240" w:lineRule="auto"/>
        <w:ind w:firstLine="720"/>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rPr>
        <w:t>Atmaksas periods: no 2021. gada oktobra līdz 2022. gada martam</w:t>
      </w:r>
      <w:r>
        <w:rPr>
          <w:rFonts w:ascii="Times New Roman" w:eastAsia="Times New Roman" w:hAnsi="Times New Roman" w:cs="Times New Roman"/>
          <w:sz w:val="24"/>
          <w:szCs w:val="24"/>
        </w:rPr>
        <w:t>.</w:t>
      </w:r>
    </w:p>
    <w:p w:rsidR="00265AD0" w:rsidRPr="00C73E8B" w:rsidRDefault="00265AD0" w:rsidP="001B1064">
      <w:pPr>
        <w:spacing w:before="120" w:after="0" w:line="240" w:lineRule="auto"/>
        <w:ind w:firstLine="720"/>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rPr>
        <w:t xml:space="preserve">Elektrotīkla maksa tiek segta 50% apmērā visiem elektroenerģijas patērētājiem - tas </w:t>
      </w:r>
      <w:r w:rsidRPr="00C73E8B">
        <w:rPr>
          <w:rFonts w:ascii="Times New Roman" w:eastAsia="Times New Roman" w:hAnsi="Times New Roman" w:cs="Times New Roman"/>
          <w:sz w:val="24"/>
          <w:szCs w:val="24"/>
          <w:u w:val="single"/>
        </w:rPr>
        <w:t>automātiski</w:t>
      </w:r>
      <w:r w:rsidRPr="00C73E8B">
        <w:rPr>
          <w:rFonts w:ascii="Times New Roman" w:eastAsia="Times New Roman" w:hAnsi="Times New Roman" w:cs="Times New Roman"/>
          <w:sz w:val="24"/>
          <w:szCs w:val="24"/>
        </w:rPr>
        <w:t xml:space="preserve"> atspoguļojas elektrības rēķinos kā mazāka maksa tīkla pakalpojumam. Līdz decembrim visiem patērētājiem tika segti 50%; saskaņā ar jauno pasākumu no 2022. gada janvāra iestādēm un uzņēmumiem tiek atmaksāta 100% elektrotīkla nodeva.</w:t>
      </w:r>
    </w:p>
    <w:p w:rsidR="00265AD0" w:rsidRPr="00C73E8B" w:rsidRDefault="00265AD0" w:rsidP="001B1064">
      <w:pPr>
        <w:spacing w:before="120" w:after="0" w:line="240" w:lineRule="auto"/>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rPr>
        <w:t>Izstrādātājs: Ekonomikas un komunikāciju ministrija</w:t>
      </w:r>
    </w:p>
    <w:p w:rsidR="00265AD0" w:rsidRPr="00C73E8B" w:rsidRDefault="00265AD0" w:rsidP="00265AD0">
      <w:pPr>
        <w:spacing w:after="0" w:line="240" w:lineRule="auto"/>
        <w:jc w:val="both"/>
        <w:rPr>
          <w:rFonts w:ascii="Times New Roman" w:eastAsia="Times New Roman" w:hAnsi="Times New Roman" w:cs="Times New Roman"/>
          <w:sz w:val="24"/>
          <w:szCs w:val="24"/>
        </w:rPr>
      </w:pPr>
    </w:p>
    <w:p w:rsidR="00265AD0" w:rsidRPr="00C73E8B" w:rsidRDefault="00265AD0" w:rsidP="00265AD0">
      <w:pPr>
        <w:spacing w:after="0" w:line="240" w:lineRule="auto"/>
        <w:jc w:val="both"/>
        <w:rPr>
          <w:rFonts w:ascii="Times New Roman" w:eastAsia="Times New Roman" w:hAnsi="Times New Roman" w:cs="Times New Roman"/>
          <w:b/>
          <w:sz w:val="24"/>
          <w:szCs w:val="24"/>
        </w:rPr>
      </w:pPr>
      <w:r w:rsidRPr="00C73E8B">
        <w:rPr>
          <w:rFonts w:ascii="Times New Roman" w:eastAsia="Times New Roman" w:hAnsi="Times New Roman" w:cs="Times New Roman"/>
          <w:b/>
          <w:sz w:val="24"/>
          <w:szCs w:val="24"/>
        </w:rPr>
        <w:t>Gāzes tīkla maksas atmaksa visiem</w:t>
      </w:r>
    </w:p>
    <w:p w:rsidR="00265AD0" w:rsidRPr="00C73E8B" w:rsidRDefault="00265AD0" w:rsidP="00265AD0">
      <w:pPr>
        <w:spacing w:after="0" w:line="240" w:lineRule="auto"/>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rPr>
        <w:t xml:space="preserve"> </w:t>
      </w:r>
    </w:p>
    <w:p w:rsidR="00265AD0" w:rsidRPr="00C73E8B" w:rsidRDefault="00265AD0" w:rsidP="001B1064">
      <w:pPr>
        <w:spacing w:before="120" w:after="0" w:line="240" w:lineRule="auto"/>
        <w:ind w:firstLine="720"/>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rPr>
        <w:t xml:space="preserve">No 2021. gada decembra līdz 2022. gada martam visiem gāzes patērētājiem </w:t>
      </w:r>
      <w:r w:rsidRPr="00C73E8B">
        <w:rPr>
          <w:rFonts w:ascii="Times New Roman" w:eastAsia="Times New Roman" w:hAnsi="Times New Roman" w:cs="Times New Roman"/>
          <w:sz w:val="24"/>
          <w:szCs w:val="24"/>
          <w:u w:val="single"/>
        </w:rPr>
        <w:t>automātiski</w:t>
      </w:r>
      <w:r w:rsidRPr="00C73E8B">
        <w:rPr>
          <w:rFonts w:ascii="Times New Roman" w:eastAsia="Times New Roman" w:hAnsi="Times New Roman" w:cs="Times New Roman"/>
          <w:sz w:val="24"/>
          <w:szCs w:val="24"/>
        </w:rPr>
        <w:t xml:space="preserve"> tiks kompensēta 100% no gāzes tīkla pakalpojuma maksas. Lai saņemtu atlaidi, patērētājiem atsevišķi nekas nav jādara. Valsts saņem tīkla pakalpojuma galalietotāja rēķinu par gāzes patēriņu, un attiecīgi mazāks ir arī patērētāju saņemtais rēķins.</w:t>
      </w:r>
    </w:p>
    <w:p w:rsidR="00265AD0" w:rsidRPr="00C73E8B" w:rsidRDefault="00265AD0" w:rsidP="001B1064">
      <w:pPr>
        <w:spacing w:before="120" w:after="0" w:line="240" w:lineRule="auto"/>
        <w:ind w:firstLine="720"/>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rPr>
        <w:t>Izstrādātājs: Ekonomikas un komunikāciju ministrija</w:t>
      </w:r>
    </w:p>
    <w:p w:rsidR="00265AD0" w:rsidRPr="00C73E8B" w:rsidRDefault="00265AD0" w:rsidP="00265AD0">
      <w:pPr>
        <w:spacing w:after="0" w:line="240" w:lineRule="auto"/>
        <w:jc w:val="both"/>
        <w:rPr>
          <w:rFonts w:ascii="Times New Roman" w:eastAsia="Times New Roman" w:hAnsi="Times New Roman" w:cs="Times New Roman"/>
          <w:sz w:val="24"/>
          <w:szCs w:val="24"/>
        </w:rPr>
      </w:pPr>
    </w:p>
    <w:p w:rsidR="00265AD0" w:rsidRPr="00C73E8B" w:rsidRDefault="00265AD0" w:rsidP="00265AD0">
      <w:pPr>
        <w:spacing w:after="0" w:line="240" w:lineRule="auto"/>
        <w:jc w:val="both"/>
        <w:rPr>
          <w:rFonts w:ascii="Times New Roman" w:eastAsia="Times New Roman" w:hAnsi="Times New Roman" w:cs="Times New Roman"/>
          <w:b/>
          <w:sz w:val="24"/>
          <w:szCs w:val="24"/>
        </w:rPr>
      </w:pPr>
      <w:r w:rsidRPr="00C73E8B">
        <w:rPr>
          <w:rFonts w:ascii="Times New Roman" w:eastAsia="Times New Roman" w:hAnsi="Times New Roman" w:cs="Times New Roman"/>
          <w:b/>
          <w:sz w:val="24"/>
          <w:szCs w:val="24"/>
        </w:rPr>
        <w:t>Kompensācija elektrības, gāzes un centralizētās siltumapgādes rēķiniem ģimenēm līdz vidējiem ienākumiem</w:t>
      </w:r>
    </w:p>
    <w:p w:rsidR="00265AD0" w:rsidRPr="00C73E8B" w:rsidRDefault="00265AD0" w:rsidP="00265AD0">
      <w:pPr>
        <w:spacing w:after="0" w:line="240" w:lineRule="auto"/>
        <w:jc w:val="both"/>
        <w:rPr>
          <w:rFonts w:ascii="Times New Roman" w:eastAsia="Times New Roman" w:hAnsi="Times New Roman" w:cs="Times New Roman"/>
          <w:sz w:val="24"/>
          <w:szCs w:val="24"/>
        </w:rPr>
      </w:pPr>
    </w:p>
    <w:p w:rsidR="00265AD0" w:rsidRPr="00C73E8B" w:rsidRDefault="00265AD0" w:rsidP="001B1064">
      <w:pPr>
        <w:spacing w:before="120" w:after="0" w:line="240" w:lineRule="auto"/>
        <w:ind w:firstLine="720"/>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rPr>
        <w:t xml:space="preserve">Valsts atbalsts no 2021.gada septembra līdz 2022.gada aprīlim (iesniegumus var iesniegt līdz 12.jūnijam) ģimenēm līdz vidējiem ienākumiem, </w:t>
      </w:r>
      <w:r w:rsidRPr="00C73E8B">
        <w:rPr>
          <w:rFonts w:ascii="Times New Roman" w:eastAsia="Times New Roman" w:hAnsi="Times New Roman" w:cs="Times New Roman"/>
          <w:sz w:val="24"/>
          <w:szCs w:val="24"/>
          <w:u w:val="single"/>
        </w:rPr>
        <w:t>pamatojoties uz iesniegumu un elektrības, gāzes un apkures rēķiniem</w:t>
      </w:r>
      <w:r w:rsidRPr="00C73E8B">
        <w:rPr>
          <w:rFonts w:ascii="Times New Roman" w:eastAsia="Times New Roman" w:hAnsi="Times New Roman" w:cs="Times New Roman"/>
          <w:sz w:val="24"/>
          <w:szCs w:val="24"/>
        </w:rPr>
        <w:t xml:space="preserve">, konkrētam enerģijas veidam (elektrība, gāze vai istabas siltums) kompensē 80% no cenas pieauguma. </w:t>
      </w:r>
    </w:p>
    <w:p w:rsidR="00265AD0" w:rsidRPr="00C73E8B" w:rsidRDefault="00265AD0" w:rsidP="001B1064">
      <w:pPr>
        <w:spacing w:before="120" w:after="0" w:line="240" w:lineRule="auto"/>
        <w:ind w:firstLine="720"/>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rPr>
        <w:t>Mājsaimniecība tiek kvalificēta kā saņēmēja, ja neto ienākumi ir zemāki par ienākumu mediānu uz vienu ekvivalento patērētāju. Tā ir aprēķināta 1126</w:t>
      </w:r>
      <w:r w:rsidRPr="00C73E8B">
        <w:rPr>
          <w:rFonts w:ascii="Times New Roman" w:eastAsia="Times New Roman" w:hAnsi="Times New Roman" w:cs="Times New Roman"/>
          <w:sz w:val="24"/>
          <w:szCs w:val="24"/>
          <w:vertAlign w:val="superscript"/>
        </w:rPr>
        <w:footnoteReference w:id="4"/>
      </w:r>
      <w:r w:rsidRPr="00C73E8B">
        <w:rPr>
          <w:rFonts w:ascii="Times New Roman" w:eastAsia="Times New Roman" w:hAnsi="Times New Roman" w:cs="Times New Roman"/>
          <w:sz w:val="24"/>
          <w:szCs w:val="24"/>
        </w:rPr>
        <w:t xml:space="preserve"> </w:t>
      </w:r>
      <w:proofErr w:type="spellStart"/>
      <w:r w:rsidRPr="00C73E8B">
        <w:rPr>
          <w:rFonts w:ascii="Times New Roman" w:eastAsia="Times New Roman" w:hAnsi="Times New Roman" w:cs="Times New Roman"/>
          <w:sz w:val="24"/>
          <w:szCs w:val="24"/>
        </w:rPr>
        <w:t>euro</w:t>
      </w:r>
      <w:proofErr w:type="spellEnd"/>
      <w:r w:rsidRPr="00C73E8B">
        <w:rPr>
          <w:rFonts w:ascii="Times New Roman" w:eastAsia="Times New Roman" w:hAnsi="Times New Roman" w:cs="Times New Roman"/>
          <w:sz w:val="24"/>
          <w:szCs w:val="24"/>
        </w:rPr>
        <w:t xml:space="preserve"> </w:t>
      </w:r>
      <w:r w:rsidRPr="00C73E8B">
        <w:rPr>
          <w:rFonts w:ascii="Times New Roman" w:eastAsia="Times New Roman" w:hAnsi="Times New Roman" w:cs="Times New Roman"/>
          <w:sz w:val="24"/>
          <w:szCs w:val="24"/>
        </w:rPr>
        <w:lastRenderedPageBreak/>
        <w:t xml:space="preserve">mēnesī pirmajam pieaugušajam, 563 </w:t>
      </w:r>
      <w:proofErr w:type="spellStart"/>
      <w:r w:rsidRPr="00C73E8B">
        <w:rPr>
          <w:rFonts w:ascii="Times New Roman" w:eastAsia="Times New Roman" w:hAnsi="Times New Roman" w:cs="Times New Roman"/>
          <w:sz w:val="24"/>
          <w:szCs w:val="24"/>
        </w:rPr>
        <w:t>euro</w:t>
      </w:r>
      <w:proofErr w:type="spellEnd"/>
      <w:r w:rsidRPr="00C73E8B">
        <w:rPr>
          <w:rFonts w:ascii="Times New Roman" w:eastAsia="Times New Roman" w:hAnsi="Times New Roman" w:cs="Times New Roman"/>
          <w:sz w:val="24"/>
          <w:szCs w:val="24"/>
        </w:rPr>
        <w:t xml:space="preserve"> (koeficients 0</w:t>
      </w:r>
      <w:r w:rsidR="001B1064">
        <w:rPr>
          <w:rFonts w:ascii="Times New Roman" w:eastAsia="Times New Roman" w:hAnsi="Times New Roman" w:cs="Times New Roman"/>
          <w:sz w:val="24"/>
          <w:szCs w:val="24"/>
        </w:rPr>
        <w:t>,</w:t>
      </w:r>
      <w:r w:rsidRPr="00C73E8B">
        <w:rPr>
          <w:rFonts w:ascii="Times New Roman" w:eastAsia="Times New Roman" w:hAnsi="Times New Roman" w:cs="Times New Roman"/>
          <w:sz w:val="24"/>
          <w:szCs w:val="24"/>
        </w:rPr>
        <w:t xml:space="preserve">5) par katru nākamo mājsaimniecības locekli, kas ir vismaz 14 gadus vecs, 338 </w:t>
      </w:r>
      <w:proofErr w:type="spellStart"/>
      <w:r w:rsidRPr="00C73E8B">
        <w:rPr>
          <w:rFonts w:ascii="Times New Roman" w:eastAsia="Times New Roman" w:hAnsi="Times New Roman" w:cs="Times New Roman"/>
          <w:sz w:val="24"/>
          <w:szCs w:val="24"/>
        </w:rPr>
        <w:t>euro</w:t>
      </w:r>
      <w:proofErr w:type="spellEnd"/>
      <w:r w:rsidRPr="00C73E8B">
        <w:rPr>
          <w:rFonts w:ascii="Times New Roman" w:eastAsia="Times New Roman" w:hAnsi="Times New Roman" w:cs="Times New Roman"/>
          <w:sz w:val="24"/>
          <w:szCs w:val="24"/>
        </w:rPr>
        <w:t xml:space="preserve"> (koeficients 0</w:t>
      </w:r>
      <w:r w:rsidR="001B1064">
        <w:rPr>
          <w:rFonts w:ascii="Times New Roman" w:eastAsia="Times New Roman" w:hAnsi="Times New Roman" w:cs="Times New Roman"/>
          <w:sz w:val="24"/>
          <w:szCs w:val="24"/>
        </w:rPr>
        <w:t>,</w:t>
      </w:r>
      <w:r w:rsidRPr="00C73E8B">
        <w:rPr>
          <w:rFonts w:ascii="Times New Roman" w:eastAsia="Times New Roman" w:hAnsi="Times New Roman" w:cs="Times New Roman"/>
          <w:sz w:val="24"/>
          <w:szCs w:val="24"/>
        </w:rPr>
        <w:t xml:space="preserve">3) par bērniem līdz 13 gadu vecumam. Piemēram, ģimene (divi pieaugušie) ar diviem līdz 13 gadus veciem bērniem kvalificētos atbalstam, ja tās neto ienākumi nesasniedz 2365 </w:t>
      </w:r>
      <w:proofErr w:type="spellStart"/>
      <w:r w:rsidRPr="00C73E8B">
        <w:rPr>
          <w:rFonts w:ascii="Times New Roman" w:eastAsia="Times New Roman" w:hAnsi="Times New Roman" w:cs="Times New Roman"/>
          <w:sz w:val="24"/>
          <w:szCs w:val="24"/>
        </w:rPr>
        <w:t>euro</w:t>
      </w:r>
      <w:proofErr w:type="spellEnd"/>
      <w:r w:rsidRPr="00C73E8B">
        <w:rPr>
          <w:rFonts w:ascii="Times New Roman" w:eastAsia="Times New Roman" w:hAnsi="Times New Roman" w:cs="Times New Roman"/>
          <w:sz w:val="24"/>
          <w:szCs w:val="24"/>
        </w:rPr>
        <w:t>.</w:t>
      </w:r>
    </w:p>
    <w:p w:rsidR="00265AD0" w:rsidRPr="00C73E8B" w:rsidRDefault="00265AD0" w:rsidP="001B1064">
      <w:pPr>
        <w:spacing w:before="120" w:after="0" w:line="252" w:lineRule="auto"/>
        <w:ind w:firstLine="720"/>
        <w:jc w:val="both"/>
        <w:rPr>
          <w:rFonts w:ascii="Times New Roman" w:eastAsia="Times New Roman" w:hAnsi="Times New Roman" w:cs="Times New Roman"/>
          <w:sz w:val="24"/>
          <w:szCs w:val="24"/>
        </w:rPr>
      </w:pPr>
      <w:proofErr w:type="spellStart"/>
      <w:r w:rsidRPr="00C73E8B">
        <w:rPr>
          <w:rFonts w:ascii="Times New Roman" w:eastAsia="Times New Roman" w:hAnsi="Times New Roman" w:cs="Times New Roman"/>
          <w:sz w:val="24"/>
          <w:szCs w:val="24"/>
        </w:rPr>
        <w:t>Mērķgrupai</w:t>
      </w:r>
      <w:proofErr w:type="spellEnd"/>
      <w:r w:rsidRPr="00C73E8B">
        <w:rPr>
          <w:rFonts w:ascii="Times New Roman" w:eastAsia="Times New Roman" w:hAnsi="Times New Roman" w:cs="Times New Roman"/>
          <w:sz w:val="24"/>
          <w:szCs w:val="24"/>
        </w:rPr>
        <w:t xml:space="preserve"> tiek kompensēti 80% no kopējās enerģijas cenas, kas pārsniedz 120 </w:t>
      </w:r>
      <w:proofErr w:type="spellStart"/>
      <w:r w:rsidRPr="00C73E8B">
        <w:rPr>
          <w:rFonts w:ascii="Times New Roman" w:eastAsia="Times New Roman" w:hAnsi="Times New Roman" w:cs="Times New Roman"/>
          <w:sz w:val="24"/>
          <w:szCs w:val="24"/>
        </w:rPr>
        <w:t>euro</w:t>
      </w:r>
      <w:proofErr w:type="spellEnd"/>
      <w:r w:rsidRPr="00C73E8B">
        <w:rPr>
          <w:rFonts w:ascii="Times New Roman" w:eastAsia="Times New Roman" w:hAnsi="Times New Roman" w:cs="Times New Roman"/>
          <w:sz w:val="24"/>
          <w:szCs w:val="24"/>
        </w:rPr>
        <w:t xml:space="preserve"> / </w:t>
      </w:r>
      <w:proofErr w:type="spellStart"/>
      <w:r w:rsidRPr="00C73E8B">
        <w:rPr>
          <w:rFonts w:ascii="Times New Roman" w:eastAsia="Times New Roman" w:hAnsi="Times New Roman" w:cs="Times New Roman"/>
          <w:sz w:val="24"/>
          <w:szCs w:val="24"/>
        </w:rPr>
        <w:t>MWh</w:t>
      </w:r>
      <w:proofErr w:type="spellEnd"/>
      <w:r w:rsidRPr="00C73E8B">
        <w:rPr>
          <w:rFonts w:ascii="Times New Roman" w:eastAsia="Times New Roman" w:hAnsi="Times New Roman" w:cs="Times New Roman"/>
          <w:sz w:val="24"/>
          <w:szCs w:val="24"/>
        </w:rPr>
        <w:t xml:space="preserve"> par elektroenerģiju, 49 </w:t>
      </w:r>
      <w:proofErr w:type="spellStart"/>
      <w:r w:rsidRPr="00C73E8B">
        <w:rPr>
          <w:rFonts w:ascii="Times New Roman" w:eastAsia="Times New Roman" w:hAnsi="Times New Roman" w:cs="Times New Roman"/>
          <w:sz w:val="24"/>
          <w:szCs w:val="24"/>
        </w:rPr>
        <w:t>euro</w:t>
      </w:r>
      <w:proofErr w:type="spellEnd"/>
      <w:r w:rsidRPr="00C73E8B">
        <w:rPr>
          <w:rFonts w:ascii="Times New Roman" w:eastAsia="Times New Roman" w:hAnsi="Times New Roman" w:cs="Times New Roman"/>
          <w:sz w:val="24"/>
          <w:szCs w:val="24"/>
        </w:rPr>
        <w:t xml:space="preserve"> / </w:t>
      </w:r>
      <w:proofErr w:type="spellStart"/>
      <w:r w:rsidRPr="00C73E8B">
        <w:rPr>
          <w:rFonts w:ascii="Times New Roman" w:eastAsia="Times New Roman" w:hAnsi="Times New Roman" w:cs="Times New Roman"/>
          <w:sz w:val="24"/>
          <w:szCs w:val="24"/>
        </w:rPr>
        <w:t>MWh</w:t>
      </w:r>
      <w:proofErr w:type="spellEnd"/>
      <w:r w:rsidRPr="00C73E8B">
        <w:rPr>
          <w:rFonts w:ascii="Times New Roman" w:eastAsia="Times New Roman" w:hAnsi="Times New Roman" w:cs="Times New Roman"/>
          <w:sz w:val="24"/>
          <w:szCs w:val="24"/>
        </w:rPr>
        <w:t xml:space="preserve"> par gāzi (4,9 centi /  kWh) un 78 </w:t>
      </w:r>
      <w:proofErr w:type="spellStart"/>
      <w:r w:rsidRPr="00C73E8B">
        <w:rPr>
          <w:rFonts w:ascii="Times New Roman" w:eastAsia="Times New Roman" w:hAnsi="Times New Roman" w:cs="Times New Roman"/>
          <w:sz w:val="24"/>
          <w:szCs w:val="24"/>
        </w:rPr>
        <w:t>euro</w:t>
      </w:r>
      <w:proofErr w:type="spellEnd"/>
      <w:r w:rsidRPr="00C73E8B">
        <w:rPr>
          <w:rFonts w:ascii="Times New Roman" w:eastAsia="Times New Roman" w:hAnsi="Times New Roman" w:cs="Times New Roman"/>
          <w:sz w:val="24"/>
          <w:szCs w:val="24"/>
        </w:rPr>
        <w:t xml:space="preserve"> / </w:t>
      </w:r>
      <w:proofErr w:type="spellStart"/>
      <w:r w:rsidRPr="00C73E8B">
        <w:rPr>
          <w:rFonts w:ascii="Times New Roman" w:eastAsia="Times New Roman" w:hAnsi="Times New Roman" w:cs="Times New Roman"/>
          <w:sz w:val="24"/>
          <w:szCs w:val="24"/>
        </w:rPr>
        <w:t>MWh</w:t>
      </w:r>
      <w:proofErr w:type="spellEnd"/>
      <w:r w:rsidRPr="00C73E8B">
        <w:rPr>
          <w:rFonts w:ascii="Times New Roman" w:eastAsia="Times New Roman" w:hAnsi="Times New Roman" w:cs="Times New Roman"/>
          <w:sz w:val="24"/>
          <w:szCs w:val="24"/>
        </w:rPr>
        <w:t xml:space="preserve"> par centralizēto siltumu (7,8 centi / kWh).</w:t>
      </w:r>
    </w:p>
    <w:p w:rsidR="00265AD0" w:rsidRPr="00C73E8B" w:rsidRDefault="00265AD0" w:rsidP="001B1064">
      <w:pPr>
        <w:spacing w:before="120" w:after="0" w:line="252" w:lineRule="auto"/>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rPr>
        <w:t xml:space="preserve">Maksimālais kompensācijas apmērs par visiem enerģijas veidiem ir 500 </w:t>
      </w:r>
      <w:proofErr w:type="spellStart"/>
      <w:r w:rsidRPr="00C73E8B">
        <w:rPr>
          <w:rFonts w:ascii="Times New Roman" w:eastAsia="Times New Roman" w:hAnsi="Times New Roman" w:cs="Times New Roman"/>
          <w:sz w:val="24"/>
          <w:szCs w:val="24"/>
        </w:rPr>
        <w:t>euro</w:t>
      </w:r>
      <w:proofErr w:type="spellEnd"/>
      <w:r w:rsidRPr="00C73E8B">
        <w:rPr>
          <w:rFonts w:ascii="Times New Roman" w:eastAsia="Times New Roman" w:hAnsi="Times New Roman" w:cs="Times New Roman"/>
          <w:sz w:val="24"/>
          <w:szCs w:val="24"/>
        </w:rPr>
        <w:t xml:space="preserve"> mēnesī.</w:t>
      </w:r>
    </w:p>
    <w:p w:rsidR="00265AD0" w:rsidRPr="00C73E8B" w:rsidRDefault="00265AD0" w:rsidP="001B1064">
      <w:pPr>
        <w:spacing w:before="120" w:after="0" w:line="252" w:lineRule="auto"/>
        <w:ind w:firstLine="720"/>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rPr>
        <w:t>Izstrādātājs: Finanšu ministrija</w:t>
      </w:r>
    </w:p>
    <w:p w:rsidR="00265AD0" w:rsidRDefault="00265AD0" w:rsidP="00265AD0">
      <w:pPr>
        <w:spacing w:after="0" w:line="240" w:lineRule="auto"/>
        <w:jc w:val="both"/>
        <w:rPr>
          <w:rFonts w:ascii="Times New Roman" w:eastAsia="Times New Roman" w:hAnsi="Times New Roman" w:cs="Times New Roman"/>
          <w:sz w:val="24"/>
          <w:szCs w:val="24"/>
        </w:rPr>
      </w:pPr>
    </w:p>
    <w:p w:rsidR="00265AD0" w:rsidRPr="00C73E8B" w:rsidRDefault="00265AD0" w:rsidP="00265AD0">
      <w:pPr>
        <w:spacing w:after="0" w:line="240" w:lineRule="auto"/>
        <w:jc w:val="both"/>
        <w:rPr>
          <w:rFonts w:ascii="Times New Roman" w:eastAsia="Times New Roman" w:hAnsi="Times New Roman" w:cs="Times New Roman"/>
          <w:b/>
          <w:sz w:val="24"/>
          <w:szCs w:val="24"/>
          <w:u w:val="single"/>
        </w:rPr>
      </w:pPr>
      <w:r w:rsidRPr="00C73E8B">
        <w:rPr>
          <w:rFonts w:ascii="Times New Roman" w:eastAsia="Times New Roman" w:hAnsi="Times New Roman" w:cs="Times New Roman"/>
          <w:b/>
          <w:sz w:val="24"/>
          <w:szCs w:val="24"/>
          <w:u w:val="single"/>
        </w:rPr>
        <w:t xml:space="preserve">Apraksts par </w:t>
      </w:r>
      <w:r>
        <w:rPr>
          <w:rFonts w:ascii="Times New Roman" w:eastAsia="Times New Roman" w:hAnsi="Times New Roman" w:cs="Times New Roman"/>
          <w:b/>
          <w:sz w:val="24"/>
          <w:szCs w:val="24"/>
          <w:u w:val="single"/>
        </w:rPr>
        <w:t>kompensācijas</w:t>
      </w:r>
      <w:r w:rsidRPr="00C73E8B">
        <w:rPr>
          <w:rFonts w:ascii="Times New Roman" w:eastAsia="Times New Roman" w:hAnsi="Times New Roman" w:cs="Times New Roman"/>
          <w:b/>
          <w:sz w:val="24"/>
          <w:szCs w:val="24"/>
          <w:u w:val="single"/>
        </w:rPr>
        <w:t xml:space="preserve"> piešķiršanas nosacījumiem un kārtību </w:t>
      </w:r>
    </w:p>
    <w:p w:rsidR="00265AD0" w:rsidRPr="00C73E8B" w:rsidRDefault="00265AD0" w:rsidP="001B1064">
      <w:pPr>
        <w:spacing w:before="120" w:after="0" w:line="240" w:lineRule="auto"/>
        <w:ind w:firstLine="720"/>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rPr>
        <w:t xml:space="preserve">Lai saņemtu kompensāciju, pašvaldībā jāiesniedz iesniegums, pašvaldība pārbauda atbilstību atbalsta saņemšanas nosacījumiem un pieņem lēmumu 35 darba dienu laikā. </w:t>
      </w:r>
    </w:p>
    <w:p w:rsidR="00265AD0" w:rsidRPr="00C73E8B" w:rsidRDefault="00265AD0" w:rsidP="001B1064">
      <w:pPr>
        <w:spacing w:before="120" w:after="0" w:line="240" w:lineRule="auto"/>
        <w:ind w:firstLine="720"/>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rPr>
        <w:t>Iesniegumu (pieteikumu) var iesniegt elektroniski pašvaldību pašapkalpošanās portālos (ir izveidotas pieteikuma formas, nav vienota visām pašvaldībām) vai arī klātienē pašvaldības izveidotos klientu pieņemšanas punktos.</w:t>
      </w:r>
    </w:p>
    <w:p w:rsidR="00265AD0" w:rsidRPr="00C73E8B" w:rsidRDefault="00265AD0" w:rsidP="001B1064">
      <w:pPr>
        <w:spacing w:before="120" w:after="0" w:line="240" w:lineRule="auto"/>
        <w:ind w:firstLine="720"/>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rPr>
        <w:t xml:space="preserve">Atbalstam var pieteikties </w:t>
      </w:r>
      <w:proofErr w:type="spellStart"/>
      <w:r w:rsidRPr="00C73E8B">
        <w:rPr>
          <w:rFonts w:ascii="Times New Roman" w:eastAsia="Times New Roman" w:hAnsi="Times New Roman" w:cs="Times New Roman"/>
          <w:sz w:val="24"/>
          <w:szCs w:val="24"/>
        </w:rPr>
        <w:t>retroaktīvi</w:t>
      </w:r>
      <w:proofErr w:type="spellEnd"/>
      <w:r w:rsidRPr="00C73E8B">
        <w:rPr>
          <w:rFonts w:ascii="Times New Roman" w:eastAsia="Times New Roman" w:hAnsi="Times New Roman" w:cs="Times New Roman"/>
          <w:sz w:val="24"/>
          <w:szCs w:val="24"/>
        </w:rPr>
        <w:t xml:space="preserve"> par vienu vai vairākiem mēnešiem vai par visu periodu vienā reizē. Pieteicējam jāiesniedz dokumenti, kas apliecina visu ģimenes locekļu ienākumus un nepieciešamības gadījumā pēc pašvaldības pieprasījuma arī bankas kontu izdrukas par attiecīgo periodu, dokumenti, kas apliecina enerģijas patēriņu, apliecinājums par sniegtās informācijas patiesumu, dokumenti, kas pierāda faktisko dzīves vietu, ja tā atšķiras no tās, kas fiksēta Iedzīvotāju reģistrā, apliecinājums, ka ģimenes loceklis un pieteiktie izdevumi nav iekļauti vēl kādā citā pieteikumā kompensācijai. Pašvaldībai ir tiesības pieprasīt papildu informāciju no pieteicēja, lai pārliecinātos par atbilstību atbalsta saņemšanas nosacījumiem, pieteicējam var tikt dotas piecas dienas papildu informācijas iesniegšanai, ja trūkumi pieteikumā netiek novērsti vai papildu informācija netiek iesniegta, pašvaldība pieteikumu neizskata. Atbalstu var izmaksāt arī skaidrā naudā. </w:t>
      </w:r>
    </w:p>
    <w:p w:rsidR="00265AD0" w:rsidRPr="00C73E8B" w:rsidRDefault="00265AD0" w:rsidP="001B1064">
      <w:pPr>
        <w:spacing w:before="120" w:after="0" w:line="240" w:lineRule="auto"/>
        <w:ind w:firstLine="720"/>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rPr>
        <w:t xml:space="preserve">Pieteikumu pieņemšanas sākuma datumu bija tiesības noteikts katrai pašvaldībai pašai. Piemēram, Tallinā un Pērnavā pieteikumus varēja sākt iesniegt no šī gada 17.janvāra, </w:t>
      </w:r>
      <w:proofErr w:type="spellStart"/>
      <w:r w:rsidRPr="00C73E8B">
        <w:rPr>
          <w:rFonts w:ascii="Times New Roman" w:eastAsia="Times New Roman" w:hAnsi="Times New Roman" w:cs="Times New Roman"/>
          <w:sz w:val="24"/>
          <w:szCs w:val="24"/>
        </w:rPr>
        <w:t>Saremā</w:t>
      </w:r>
      <w:proofErr w:type="spellEnd"/>
      <w:r w:rsidRPr="00C73E8B">
        <w:rPr>
          <w:rFonts w:ascii="Times New Roman" w:eastAsia="Times New Roman" w:hAnsi="Times New Roman" w:cs="Times New Roman"/>
          <w:sz w:val="24"/>
          <w:szCs w:val="24"/>
        </w:rPr>
        <w:t xml:space="preserve"> no 13.janvāra, Valgā un Tartu no 11.janvāra. Pašvaldībai par katru iesniegumu paredzēta samaksa 8,93 </w:t>
      </w:r>
      <w:proofErr w:type="spellStart"/>
      <w:r w:rsidRPr="00C73E8B">
        <w:rPr>
          <w:rFonts w:ascii="Times New Roman" w:eastAsia="Times New Roman" w:hAnsi="Times New Roman" w:cs="Times New Roman"/>
          <w:sz w:val="24"/>
          <w:szCs w:val="24"/>
        </w:rPr>
        <w:t>euro</w:t>
      </w:r>
      <w:proofErr w:type="spellEnd"/>
      <w:r w:rsidRPr="00C73E8B">
        <w:rPr>
          <w:rFonts w:ascii="Times New Roman" w:eastAsia="Times New Roman" w:hAnsi="Times New Roman" w:cs="Times New Roman"/>
          <w:sz w:val="24"/>
          <w:szCs w:val="24"/>
        </w:rPr>
        <w:t>. Pašvaldībai atmaksa par izmaksāto atbalstu tiek veikta saskaņā ar mēneša statistikas pārskatiem Valsts sociālo pakalpojumu un pabalstu reģistrā. Lai nodrošinātu  pietiekamu naudas plūsmu atbalsta izmaksai, Publiskās administrācijas ministrs var pēc savas vai pašvaldības iniciatīvas veikt avansa maksājumu pašvaldībai.</w:t>
      </w:r>
    </w:p>
    <w:p w:rsidR="00265AD0" w:rsidRPr="00C73E8B" w:rsidRDefault="00265AD0" w:rsidP="001B1064">
      <w:pPr>
        <w:spacing w:before="120" w:after="0" w:line="240" w:lineRule="auto"/>
        <w:ind w:firstLine="720"/>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rPr>
        <w:t xml:space="preserve">Sākotnējo informāciju par to, vai ģimene var saņemt atbalstu un cik liels tas varētu būt, sniedz Finanšu ministrijas izstrādāts  kalkulators (skatīt šeit: </w:t>
      </w:r>
      <w:hyperlink r:id="rId8" w:history="1">
        <w:r w:rsidRPr="00C73E8B">
          <w:rPr>
            <w:rFonts w:ascii="Times New Roman" w:eastAsia="Times New Roman" w:hAnsi="Times New Roman" w:cs="Times New Roman"/>
            <w:color w:val="0563C1"/>
            <w:sz w:val="24"/>
            <w:szCs w:val="24"/>
            <w:u w:val="single"/>
          </w:rPr>
          <w:t>https://www.arvutus.ee/</w:t>
        </w:r>
      </w:hyperlink>
      <w:r w:rsidRPr="00C73E8B">
        <w:rPr>
          <w:rFonts w:ascii="Times New Roman" w:eastAsia="Times New Roman" w:hAnsi="Times New Roman" w:cs="Times New Roman"/>
          <w:sz w:val="24"/>
          <w:szCs w:val="24"/>
        </w:rPr>
        <w:t xml:space="preserve">). Kalkulators ļauj veikt aprēķinus veselās vienībās. Precīzu, galīgo kompensācijas aprēķinu veic pašvaldība, pamatojoties uz mājsaimniecības ienākumiem un rēķiniem par enerģiju. Pašvaldība kompensācijas administrēšanu veic Valsts sociālo pakalpojumu un pabalstu reģistrā. </w:t>
      </w:r>
    </w:p>
    <w:p w:rsidR="00265AD0" w:rsidRPr="00C73E8B" w:rsidRDefault="00265AD0" w:rsidP="001B1064">
      <w:pPr>
        <w:spacing w:before="120" w:after="0" w:line="240" w:lineRule="auto"/>
        <w:ind w:firstLine="720"/>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rPr>
        <w:t xml:space="preserve">Igaunijā izveidotā sistēmā X-ROAD ESTONIA kopš 2018.gada vienkopus ļauj apstrādāt dažādu sistēmu datus – iedzīvotāju reģistrs, nodokļu, sociālās un </w:t>
      </w:r>
      <w:r w:rsidRPr="00C73E8B">
        <w:rPr>
          <w:rFonts w:ascii="Times New Roman" w:eastAsia="Times New Roman" w:hAnsi="Times New Roman" w:cs="Times New Roman"/>
          <w:sz w:val="24"/>
          <w:szCs w:val="24"/>
        </w:rPr>
        <w:lastRenderedPageBreak/>
        <w:t>veselības apdrošināšana utt., lai piešķirtu pakalpojumus, piekļuve arī ārējiem lietotājiem noteiktu funkciju veikšanai.</w:t>
      </w:r>
    </w:p>
    <w:p w:rsidR="00265AD0" w:rsidRPr="00C73E8B" w:rsidRDefault="00265AD0" w:rsidP="00265AD0">
      <w:pPr>
        <w:spacing w:line="252" w:lineRule="auto"/>
        <w:contextualSpacing/>
        <w:jc w:val="both"/>
        <w:rPr>
          <w:rFonts w:ascii="Times New Roman" w:eastAsia="Times New Roman" w:hAnsi="Times New Roman" w:cs="Times New Roman"/>
          <w:color w:val="333333"/>
          <w:sz w:val="24"/>
          <w:szCs w:val="24"/>
          <w:bdr w:val="none" w:sz="0" w:space="0" w:color="auto" w:frame="1"/>
          <w:shd w:val="clear" w:color="auto" w:fill="FFFFFF"/>
        </w:rPr>
      </w:pPr>
    </w:p>
    <w:p w:rsidR="00265AD0" w:rsidRPr="00C73E8B" w:rsidRDefault="00265AD0" w:rsidP="00265AD0">
      <w:pPr>
        <w:spacing w:line="252" w:lineRule="auto"/>
        <w:contextualSpacing/>
        <w:jc w:val="both"/>
        <w:rPr>
          <w:rFonts w:ascii="Times New Roman" w:eastAsia="Times New Roman" w:hAnsi="Times New Roman" w:cs="Times New Roman"/>
          <w:b/>
          <w:sz w:val="24"/>
          <w:szCs w:val="24"/>
        </w:rPr>
      </w:pPr>
      <w:r w:rsidRPr="00C73E8B">
        <w:rPr>
          <w:rFonts w:ascii="Times New Roman" w:eastAsia="Times New Roman" w:hAnsi="Times New Roman" w:cs="Times New Roman"/>
          <w:b/>
          <w:sz w:val="24"/>
          <w:szCs w:val="24"/>
        </w:rPr>
        <w:t>Kā noteikts ienākumu slieksnis šim atbalsta pasākumam?</w:t>
      </w:r>
    </w:p>
    <w:p w:rsidR="00265AD0" w:rsidRPr="00C73E8B" w:rsidRDefault="00265AD0" w:rsidP="001B1064">
      <w:pPr>
        <w:spacing w:before="120" w:after="0" w:line="252" w:lineRule="auto"/>
        <w:ind w:firstLine="720"/>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rPr>
        <w:t xml:space="preserve">Koeficienti jeb ekvivalentais patērētājs tiek izmantoti, lai katram mājsaimniecības loceklim piešķirtu noteiktu svaru atbilstoši vecumam. Šāda ekvivalences (izlīdzināšana) modeļa izmantošana samazina mājsaimniecību sastāva atšķirību ietekmi mājsaimniecību iespēju noteikšanā un ļauj novērtēt un salīdzināt dažāda sastāva ģimeņu faktiskos iztikas līdzekļus. Ekvivalences modelis tiek izmantots visā Eiropā, lai novērtētu ģimeņu iztikas līdzekļus, tostarp relatīvo nabadzības īpatsvaru sabiedrībā. Pēc </w:t>
      </w:r>
      <w:proofErr w:type="spellStart"/>
      <w:r w:rsidRPr="00C73E8B">
        <w:rPr>
          <w:rFonts w:ascii="Times New Roman" w:eastAsia="Times New Roman" w:hAnsi="Times New Roman" w:cs="Times New Roman"/>
          <w:sz w:val="24"/>
          <w:szCs w:val="24"/>
        </w:rPr>
        <w:t>Eurostat</w:t>
      </w:r>
      <w:proofErr w:type="spellEnd"/>
      <w:r w:rsidRPr="00C73E8B">
        <w:rPr>
          <w:rFonts w:ascii="Times New Roman" w:eastAsia="Times New Roman" w:hAnsi="Times New Roman" w:cs="Times New Roman"/>
          <w:sz w:val="24"/>
          <w:szCs w:val="24"/>
        </w:rPr>
        <w:t xml:space="preserve"> datiem, 2020. gadā neto ienākumu mediāna uz vienu ekvivalento patērētāju Igaunijā bija 1052 eiro mēnesī, liecina Igaunijas Statistikas biroja dati</w:t>
      </w:r>
      <w:r w:rsidRPr="00C73E8B">
        <w:rPr>
          <w:rFonts w:ascii="Times New Roman" w:eastAsia="Times New Roman" w:hAnsi="Times New Roman" w:cs="Times New Roman"/>
          <w:sz w:val="24"/>
          <w:szCs w:val="24"/>
          <w:vertAlign w:val="superscript"/>
        </w:rPr>
        <w:footnoteReference w:id="5"/>
      </w:r>
      <w:r w:rsidRPr="00C73E8B">
        <w:rPr>
          <w:rFonts w:ascii="Times New Roman" w:eastAsia="Times New Roman" w:hAnsi="Times New Roman" w:cs="Times New Roman"/>
          <w:sz w:val="24"/>
          <w:szCs w:val="24"/>
        </w:rPr>
        <w:t xml:space="preserve">. Ņemot vērā vidējās darba samaksas pieaugumu par 7% 2021.gadā saskaņā ar FM prognozi, ekvivalentā neto ienākumu mediāna 2021.gadā pieaugs līdz 1126 eiro. </w:t>
      </w:r>
    </w:p>
    <w:p w:rsidR="00265AD0" w:rsidRPr="00C73E8B" w:rsidRDefault="00265AD0" w:rsidP="001B1064">
      <w:pPr>
        <w:spacing w:before="120" w:after="0" w:line="252" w:lineRule="auto"/>
        <w:ind w:firstLine="720"/>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rPr>
        <w:t>Attiecīgi Igaunijā ekvivalentais vidējais ienākums pirmajam ģimenes loceklim aprēķināts 1126 eiro, katram vismaz 14 gadus vecam – 563 eiro un līdz 13 gadu vecumam – 338 eiro. Šīs summas atspoguļo nevis ģimenes locekļu enerģijas patēriņa izmaksas, bet visas iztikas izmaksas. Palielinoties ģimenes locekļu skaitam, pārtikas un citi kārtējie izdevumi pieaug daļēji, bet pārējie fiksētie izdevumi proporcionāli nepalielinās.</w:t>
      </w:r>
    </w:p>
    <w:p w:rsidR="00265AD0" w:rsidRPr="00C73E8B" w:rsidRDefault="00265AD0" w:rsidP="00265AD0">
      <w:pPr>
        <w:spacing w:line="252" w:lineRule="auto"/>
        <w:contextualSpacing/>
        <w:jc w:val="both"/>
        <w:rPr>
          <w:rFonts w:ascii="Times New Roman" w:eastAsia="Times New Roman" w:hAnsi="Times New Roman" w:cs="Times New Roman"/>
          <w:sz w:val="24"/>
          <w:szCs w:val="24"/>
        </w:rPr>
      </w:pPr>
    </w:p>
    <w:p w:rsidR="00265AD0" w:rsidRPr="00C73E8B" w:rsidRDefault="00265AD0" w:rsidP="00265AD0">
      <w:pPr>
        <w:spacing w:line="252" w:lineRule="auto"/>
        <w:contextualSpacing/>
        <w:jc w:val="both"/>
        <w:rPr>
          <w:rFonts w:ascii="Times New Roman" w:eastAsia="Times New Roman" w:hAnsi="Times New Roman" w:cs="Times New Roman"/>
          <w:b/>
          <w:bCs/>
          <w:sz w:val="24"/>
          <w:szCs w:val="24"/>
        </w:rPr>
      </w:pPr>
      <w:r w:rsidRPr="00C73E8B">
        <w:rPr>
          <w:rFonts w:ascii="Times New Roman" w:eastAsia="Times New Roman" w:hAnsi="Times New Roman" w:cs="Times New Roman"/>
          <w:b/>
          <w:bCs/>
          <w:sz w:val="24"/>
          <w:szCs w:val="24"/>
        </w:rPr>
        <w:t xml:space="preserve">Kādas pozīcijas tiek ņemtas vērā, aprēķinot mājsaimniecības ienākumos? </w:t>
      </w:r>
    </w:p>
    <w:p w:rsidR="00265AD0" w:rsidRPr="00C73E8B" w:rsidRDefault="00265AD0" w:rsidP="001B1064">
      <w:pPr>
        <w:spacing w:before="120" w:after="0" w:line="257" w:lineRule="auto"/>
        <w:ind w:firstLine="720"/>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rPr>
        <w:t>Ņem vērā visu ģimenes locekļu ienākumus, ko ģimenes locekļi saņem Igaunijā un ārpus Igaunijas no visiem ienākumu avotiem, no kuriem atskaita izmaksātos uzturlīdzekļus un izpildes procesā ieturētās summas.</w:t>
      </w:r>
    </w:p>
    <w:p w:rsidR="00265AD0" w:rsidRPr="00C73E8B" w:rsidRDefault="00265AD0" w:rsidP="001B1064">
      <w:pPr>
        <w:spacing w:before="120" w:after="0" w:line="257" w:lineRule="auto"/>
        <w:ind w:firstLine="720"/>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u w:val="single"/>
        </w:rPr>
        <w:t>Ienākumos ietilpst</w:t>
      </w:r>
      <w:r w:rsidRPr="00C73E8B">
        <w:rPr>
          <w:rFonts w:ascii="Times New Roman" w:eastAsia="Times New Roman" w:hAnsi="Times New Roman" w:cs="Times New Roman"/>
          <w:sz w:val="24"/>
          <w:szCs w:val="24"/>
        </w:rPr>
        <w:t xml:space="preserve"> alga, pensija (II un III pīlārs), saņemtie uzturlīdzekļi, īre, dividendes, saņemtie pabalsti (tostarp bērnu pabalsti, darbspējas pabalsts, radošais pabalsts, aizvietošanas un </w:t>
      </w:r>
      <w:proofErr w:type="spellStart"/>
      <w:r w:rsidRPr="00C73E8B">
        <w:rPr>
          <w:rFonts w:ascii="Times New Roman" w:eastAsia="Times New Roman" w:hAnsi="Times New Roman" w:cs="Times New Roman"/>
          <w:sz w:val="24"/>
          <w:szCs w:val="24"/>
        </w:rPr>
        <w:t>pēcaprūpes</w:t>
      </w:r>
      <w:proofErr w:type="spellEnd"/>
      <w:r w:rsidRPr="00C73E8B">
        <w:rPr>
          <w:rFonts w:ascii="Times New Roman" w:eastAsia="Times New Roman" w:hAnsi="Times New Roman" w:cs="Times New Roman"/>
          <w:sz w:val="24"/>
          <w:szCs w:val="24"/>
        </w:rPr>
        <w:t xml:space="preserve"> pabalsts), maksājumi no pensiju fondiem,</w:t>
      </w:r>
      <w:r>
        <w:rPr>
          <w:rFonts w:ascii="Times New Roman" w:eastAsia="Times New Roman" w:hAnsi="Times New Roman" w:cs="Times New Roman"/>
          <w:sz w:val="24"/>
          <w:szCs w:val="24"/>
        </w:rPr>
        <w:t xml:space="preserve"> </w:t>
      </w:r>
      <w:r w:rsidRPr="00C73E8B">
        <w:rPr>
          <w:rFonts w:ascii="Times New Roman" w:eastAsia="Times New Roman" w:hAnsi="Times New Roman" w:cs="Times New Roman"/>
          <w:sz w:val="24"/>
          <w:szCs w:val="24"/>
        </w:rPr>
        <w:t>pabalsti (piemēram, nelaimes gadījuma pabalsts, vecāku pabalsts), slimības pabalsts, bezdarbnieka pabalsts, arodslimības pabalsts u.c.), ienākuma nodokļa atmaksa, dienas nauda, paternitātes atvaļinājums, regulārie pabalsti (piemēram, aprūpētāja pabalsts, bērna kopšanas pabalsts, viena vecāka bērna pabalsts), pabalsts vecākam ar invaliditāti). Par ienākumiem tiek uzskatīts arī finansiālais mantojums.</w:t>
      </w:r>
    </w:p>
    <w:p w:rsidR="00265AD0" w:rsidRPr="00C73E8B" w:rsidRDefault="00265AD0" w:rsidP="00265AD0">
      <w:pPr>
        <w:spacing w:line="256" w:lineRule="auto"/>
        <w:contextualSpacing/>
        <w:jc w:val="both"/>
        <w:rPr>
          <w:rFonts w:ascii="Times New Roman" w:eastAsia="Times New Roman" w:hAnsi="Times New Roman" w:cs="Times New Roman"/>
          <w:sz w:val="24"/>
          <w:szCs w:val="24"/>
        </w:rPr>
      </w:pPr>
    </w:p>
    <w:p w:rsidR="00265AD0" w:rsidRPr="00C73E8B" w:rsidRDefault="00265AD0" w:rsidP="00265AD0">
      <w:pPr>
        <w:spacing w:line="256" w:lineRule="auto"/>
        <w:contextualSpacing/>
        <w:jc w:val="both"/>
        <w:rPr>
          <w:rFonts w:ascii="Times New Roman" w:eastAsia="Times New Roman" w:hAnsi="Times New Roman" w:cs="Times New Roman"/>
          <w:sz w:val="24"/>
          <w:szCs w:val="24"/>
          <w:u w:val="single"/>
        </w:rPr>
      </w:pPr>
      <w:r w:rsidRPr="00C73E8B">
        <w:rPr>
          <w:rFonts w:ascii="Times New Roman" w:eastAsia="Times New Roman" w:hAnsi="Times New Roman" w:cs="Times New Roman"/>
          <w:sz w:val="24"/>
          <w:szCs w:val="24"/>
          <w:u w:val="single"/>
        </w:rPr>
        <w:t>Par ienākumiem neuzskata:</w:t>
      </w:r>
    </w:p>
    <w:p w:rsidR="00265AD0" w:rsidRPr="0029167D" w:rsidRDefault="00265AD0" w:rsidP="00265AD0">
      <w:pPr>
        <w:pStyle w:val="ListParagraph"/>
        <w:numPr>
          <w:ilvl w:val="1"/>
          <w:numId w:val="4"/>
        </w:numPr>
        <w:spacing w:line="252"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29167D">
        <w:rPr>
          <w:rFonts w:ascii="Times New Roman" w:eastAsia="Times New Roman" w:hAnsi="Times New Roman" w:cs="Times New Roman"/>
          <w:sz w:val="24"/>
          <w:szCs w:val="24"/>
        </w:rPr>
        <w:t>alsts vai pašvaldības izmaksātos vienreizējos pabalstus, piemēram, ienākumos netiek ieskaitīti papildu sociālie pabalsti, ko maksā pašvaldība, bērna piedzimšanas pabalsts, apbedīšanas pabalsts, pabalsts pensionāram, kurš dzīvo viens. Parasti vienreizējie pabalsti no Lauksaimniecības reģis</w:t>
      </w:r>
      <w:r>
        <w:rPr>
          <w:rFonts w:ascii="Times New Roman" w:eastAsia="Times New Roman" w:hAnsi="Times New Roman" w:cs="Times New Roman"/>
          <w:sz w:val="24"/>
          <w:szCs w:val="24"/>
        </w:rPr>
        <w:t xml:space="preserve">tru un informācijas pārvaldes </w:t>
      </w:r>
      <w:r w:rsidRPr="0029167D">
        <w:rPr>
          <w:rFonts w:ascii="Times New Roman" w:eastAsia="Times New Roman" w:hAnsi="Times New Roman" w:cs="Times New Roman"/>
          <w:sz w:val="24"/>
          <w:szCs w:val="24"/>
        </w:rPr>
        <w:t xml:space="preserve">netiek iekļauti ieņēmumos, izņemot gadījumus, kad atbalsta saņēmējs ir pašnodarbināta persona un atbalsts ir saistīts ar viņa darbību. Ienākumu </w:t>
      </w:r>
      <w:r w:rsidRPr="0029167D">
        <w:rPr>
          <w:rFonts w:ascii="Times New Roman" w:eastAsia="Times New Roman" w:hAnsi="Times New Roman" w:cs="Times New Roman"/>
          <w:sz w:val="24"/>
          <w:szCs w:val="24"/>
        </w:rPr>
        <w:lastRenderedPageBreak/>
        <w:t xml:space="preserve">atbalsts jāvērtē arī tad, ja, piemēram, privātpersona ir iznomājusi zemi un </w:t>
      </w:r>
      <w:r>
        <w:rPr>
          <w:rFonts w:ascii="Times New Roman" w:eastAsia="Times New Roman" w:hAnsi="Times New Roman" w:cs="Times New Roman"/>
          <w:sz w:val="24"/>
          <w:szCs w:val="24"/>
        </w:rPr>
        <w:t>nesedz ar to saistītās izmaksas;</w:t>
      </w:r>
    </w:p>
    <w:p w:rsidR="00265AD0" w:rsidRPr="0029167D" w:rsidRDefault="00265AD0" w:rsidP="00265AD0">
      <w:pPr>
        <w:pStyle w:val="ListParagraph"/>
        <w:numPr>
          <w:ilvl w:val="1"/>
          <w:numId w:val="4"/>
        </w:numPr>
        <w:spacing w:line="252"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29167D">
        <w:rPr>
          <w:rFonts w:ascii="Times New Roman" w:eastAsia="Times New Roman" w:hAnsi="Times New Roman" w:cs="Times New Roman"/>
          <w:sz w:val="24"/>
          <w:szCs w:val="24"/>
        </w:rPr>
        <w:t>eriodiskus pabalstus, ko izmaksā pašvaldība atkarībā no ģimenes ienākumiem vai kas paredzēti konkrētu pakalpojumu apmaksai saskaņā ar pašvaldības tiesību aktiem, piemēram, bērnudārza un skolas pusdienu pabalsts, bērnudārza vietas maksas pa</w:t>
      </w:r>
      <w:r>
        <w:rPr>
          <w:rFonts w:ascii="Times New Roman" w:eastAsia="Times New Roman" w:hAnsi="Times New Roman" w:cs="Times New Roman"/>
          <w:sz w:val="24"/>
          <w:szCs w:val="24"/>
        </w:rPr>
        <w:t>balsts, bērna kopšanas pabalsts;</w:t>
      </w:r>
    </w:p>
    <w:p w:rsidR="00265AD0" w:rsidRDefault="00265AD0" w:rsidP="00265AD0">
      <w:pPr>
        <w:pStyle w:val="ListParagraph"/>
        <w:numPr>
          <w:ilvl w:val="1"/>
          <w:numId w:val="4"/>
        </w:numPr>
        <w:spacing w:line="252"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29167D">
        <w:rPr>
          <w:rFonts w:ascii="Times New Roman" w:eastAsia="Times New Roman" w:hAnsi="Times New Roman" w:cs="Times New Roman"/>
          <w:sz w:val="24"/>
          <w:szCs w:val="24"/>
        </w:rPr>
        <w:t>abalstus, kas izmaksāti saskaņā ar likumu par sociālajiem pabalstiem personām ar invaliditāti (izņemot pabalstu vecākam ar invaliditāti). Piemēram, pabalsts par bērnu ar invaliditāti, pabalsts personai ar invaliditāti darbspējas vecumā, pabalsts personai ar invaliditāti pensijas vecumā, mācību pabalsts un pa</w:t>
      </w:r>
      <w:r>
        <w:rPr>
          <w:rFonts w:ascii="Times New Roman" w:eastAsia="Times New Roman" w:hAnsi="Times New Roman" w:cs="Times New Roman"/>
          <w:sz w:val="24"/>
          <w:szCs w:val="24"/>
        </w:rPr>
        <w:t>balsts kvalifikācijas celšanai;</w:t>
      </w:r>
    </w:p>
    <w:p w:rsidR="00265AD0" w:rsidRPr="0029167D" w:rsidRDefault="00265AD0" w:rsidP="001B1064">
      <w:pPr>
        <w:pStyle w:val="ListParagraph"/>
        <w:numPr>
          <w:ilvl w:val="1"/>
          <w:numId w:val="4"/>
        </w:numPr>
        <w:spacing w:line="252"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29167D">
        <w:rPr>
          <w:rFonts w:ascii="Times New Roman" w:eastAsia="Times New Roman" w:hAnsi="Times New Roman" w:cs="Times New Roman"/>
          <w:sz w:val="24"/>
          <w:szCs w:val="24"/>
        </w:rPr>
        <w:t>tudentu kredītus ar valsts galvojumu. Stipendijas un ceļa un uzturēšanās pabalstus, kas izmaksāti, pamatojoties uz Darba tirgus pakalpojumu un pabalstu likumu vai no s</w:t>
      </w:r>
      <w:r>
        <w:rPr>
          <w:rFonts w:ascii="Times New Roman" w:eastAsia="Times New Roman" w:hAnsi="Times New Roman" w:cs="Times New Roman"/>
          <w:sz w:val="24"/>
          <w:szCs w:val="24"/>
        </w:rPr>
        <w:t>truktūrfondu līdzekļiem;</w:t>
      </w:r>
    </w:p>
    <w:p w:rsidR="00265AD0" w:rsidRDefault="00265AD0" w:rsidP="001B1064">
      <w:pPr>
        <w:pStyle w:val="ListParagraph"/>
        <w:numPr>
          <w:ilvl w:val="0"/>
          <w:numId w:val="3"/>
        </w:numPr>
        <w:spacing w:line="252"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29167D">
        <w:rPr>
          <w:rFonts w:ascii="Times New Roman" w:eastAsia="Times New Roman" w:hAnsi="Times New Roman" w:cs="Times New Roman"/>
          <w:sz w:val="24"/>
          <w:szCs w:val="24"/>
        </w:rPr>
        <w:t>amata atbalsts, kas tiek izmaksāts, pamatojoties uz Studiju stipendiju un studējošo kredītu likumu, uz vajadzībām balstīts speciālais atbalsts, uz vajadzībām balstīts studiju atbalsts un atbalsts, ko izmaksā no izglītības iestādes veidotā spe</w:t>
      </w:r>
      <w:r>
        <w:rPr>
          <w:rFonts w:ascii="Times New Roman" w:eastAsia="Times New Roman" w:hAnsi="Times New Roman" w:cs="Times New Roman"/>
          <w:sz w:val="24"/>
          <w:szCs w:val="24"/>
        </w:rPr>
        <w:t>ciālā atbalsta fonda līdzekļiem;</w:t>
      </w:r>
    </w:p>
    <w:p w:rsidR="00265AD0" w:rsidRPr="0029167D" w:rsidRDefault="00265AD0" w:rsidP="001B1064">
      <w:pPr>
        <w:pStyle w:val="ListParagraph"/>
        <w:numPr>
          <w:ilvl w:val="0"/>
          <w:numId w:val="3"/>
        </w:numPr>
        <w:spacing w:line="252" w:lineRule="auto"/>
        <w:ind w:left="567"/>
        <w:jc w:val="both"/>
        <w:rPr>
          <w:rFonts w:ascii="Times New Roman" w:eastAsia="Times New Roman" w:hAnsi="Times New Roman" w:cs="Times New Roman"/>
          <w:sz w:val="24"/>
          <w:szCs w:val="24"/>
        </w:rPr>
      </w:pPr>
      <w:r w:rsidRPr="0029167D">
        <w:rPr>
          <w:rFonts w:ascii="Times New Roman" w:eastAsia="Times New Roman" w:hAnsi="Times New Roman" w:cs="Times New Roman"/>
          <w:sz w:val="24"/>
          <w:szCs w:val="24"/>
        </w:rPr>
        <w:t>ienākumus no darba, ko saņem bērns bez vidējās izglītības, kurš mācās pamatskolā, vidusskolā vai profesionālajā izglītībā līdz 19 gadu vecumam vai pēc 19 gadu vecuma līdz kārtējā mācību gada beigām vai līdz skolēns tiek izslēgts no skolu saraksta;</w:t>
      </w:r>
    </w:p>
    <w:p w:rsidR="00265AD0" w:rsidRPr="0029167D" w:rsidRDefault="00265AD0" w:rsidP="001B1064">
      <w:pPr>
        <w:pStyle w:val="ListParagraph"/>
        <w:numPr>
          <w:ilvl w:val="0"/>
          <w:numId w:val="3"/>
        </w:numPr>
        <w:spacing w:line="252"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29167D">
        <w:rPr>
          <w:rFonts w:ascii="Times New Roman" w:eastAsia="Times New Roman" w:hAnsi="Times New Roman" w:cs="Times New Roman"/>
          <w:sz w:val="24"/>
          <w:szCs w:val="24"/>
        </w:rPr>
        <w:t>tipendijas un grantu</w:t>
      </w:r>
      <w:r>
        <w:rPr>
          <w:rFonts w:ascii="Times New Roman" w:eastAsia="Times New Roman" w:hAnsi="Times New Roman" w:cs="Times New Roman"/>
          <w:sz w:val="24"/>
          <w:szCs w:val="24"/>
        </w:rPr>
        <w:t>s studiju un darba veicināšanai;</w:t>
      </w:r>
    </w:p>
    <w:p w:rsidR="00265AD0" w:rsidRPr="0029167D" w:rsidRDefault="00265AD0" w:rsidP="001B1064">
      <w:pPr>
        <w:pStyle w:val="ListParagraph"/>
        <w:numPr>
          <w:ilvl w:val="0"/>
          <w:numId w:val="3"/>
        </w:numPr>
        <w:spacing w:line="252"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29167D">
        <w:rPr>
          <w:rFonts w:ascii="Times New Roman" w:eastAsia="Times New Roman" w:hAnsi="Times New Roman" w:cs="Times New Roman"/>
          <w:sz w:val="24"/>
          <w:szCs w:val="24"/>
        </w:rPr>
        <w:t>ompensāciju, kas saņemta, lai segtu konkrētas izmaksas vai bojājumu (kompensācija, kas izmaksāta, lai aizstātu vienu un to pašu lietu konkrētas lietas sabojāšanas/zau</w:t>
      </w:r>
      <w:r>
        <w:rPr>
          <w:rFonts w:ascii="Times New Roman" w:eastAsia="Times New Roman" w:hAnsi="Times New Roman" w:cs="Times New Roman"/>
          <w:sz w:val="24"/>
          <w:szCs w:val="24"/>
        </w:rPr>
        <w:t>dēšanas/iznīcināšanas gadījumā);</w:t>
      </w:r>
    </w:p>
    <w:p w:rsidR="00265AD0" w:rsidRPr="0029167D" w:rsidRDefault="00265AD0" w:rsidP="001B1064">
      <w:pPr>
        <w:pStyle w:val="ListParagraph"/>
        <w:numPr>
          <w:ilvl w:val="0"/>
          <w:numId w:val="3"/>
        </w:numPr>
        <w:spacing w:line="252"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29167D">
        <w:rPr>
          <w:rFonts w:ascii="Times New Roman" w:eastAsia="Times New Roman" w:hAnsi="Times New Roman" w:cs="Times New Roman"/>
          <w:sz w:val="24"/>
          <w:szCs w:val="24"/>
        </w:rPr>
        <w:t>inansiālo atbalstu un dāvanas, kas saņemtas no tuviniekiem viņu iztikas uzlabošanai. Ja vecāki šķiras un viens otram maksā naudu bērnu uzturēšanai, tie ir uzturlīdzekļi un netiek uzskatīti par tuvinieku izmaksātu pabalstu.</w:t>
      </w:r>
    </w:p>
    <w:p w:rsidR="00265AD0" w:rsidRPr="00C73E8B" w:rsidRDefault="00265AD0" w:rsidP="00265AD0">
      <w:pPr>
        <w:spacing w:line="252" w:lineRule="auto"/>
        <w:contextualSpacing/>
        <w:jc w:val="both"/>
        <w:rPr>
          <w:rFonts w:ascii="Times New Roman" w:eastAsia="Times New Roman" w:hAnsi="Times New Roman" w:cs="Times New Roman"/>
          <w:sz w:val="24"/>
          <w:szCs w:val="24"/>
        </w:rPr>
      </w:pPr>
    </w:p>
    <w:p w:rsidR="00265AD0" w:rsidRPr="00C73E8B" w:rsidRDefault="00265AD0" w:rsidP="00265AD0">
      <w:pPr>
        <w:spacing w:line="252" w:lineRule="auto"/>
        <w:contextualSpacing/>
        <w:jc w:val="both"/>
        <w:rPr>
          <w:rFonts w:ascii="Times New Roman" w:eastAsia="Times New Roman" w:hAnsi="Times New Roman" w:cs="Times New Roman"/>
          <w:b/>
          <w:sz w:val="24"/>
          <w:szCs w:val="24"/>
        </w:rPr>
      </w:pPr>
      <w:r w:rsidRPr="00C73E8B">
        <w:rPr>
          <w:rFonts w:ascii="Times New Roman" w:eastAsia="Times New Roman" w:hAnsi="Times New Roman" w:cs="Times New Roman"/>
          <w:b/>
          <w:sz w:val="24"/>
          <w:szCs w:val="24"/>
        </w:rPr>
        <w:t>Par kādu periodu izmaksā kompensāciju?</w:t>
      </w:r>
    </w:p>
    <w:p w:rsidR="00265AD0" w:rsidRPr="00C73E8B" w:rsidRDefault="00265AD0" w:rsidP="001B1064">
      <w:pPr>
        <w:spacing w:before="120" w:after="0" w:line="252" w:lineRule="auto"/>
        <w:ind w:firstLine="720"/>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rPr>
        <w:t>Ja ģimenes locekļi ir saņēmuši ienākumus, kas izmaksāti avansā par vairākiem mēnešiem (piemēram, vecāku pabalsts, izņemta nauda no II pīlāra) vai retrospektīvi, aprēķinu var veikt, pamatojoties uz vidējiem ienākumiem sešu mēnešu laikā pirms pieteikuma iesniegšanas (ieskaitot ārkārtas ienākumus). Sešu mēnešu vidējo ienākumu aprēķina mērķis ir izvērtēt, vai ģimenes ienākumi ilgtermiņā joprojām ir zem sliekšņa un būtu pamatoti personai/ ģimenei izmaksāt pabalstu.</w:t>
      </w:r>
    </w:p>
    <w:p w:rsidR="00265AD0" w:rsidRPr="00C73E8B" w:rsidRDefault="00265AD0" w:rsidP="001B1064">
      <w:pPr>
        <w:spacing w:before="120" w:after="0" w:line="252" w:lineRule="auto"/>
        <w:ind w:firstLine="720"/>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rPr>
        <w:t>Ja vienā mēnesī saņemti tik lieli ienākumi, ka atbalsta noteikšanai izmantotais ienākumu slieksnis tiek pārsniegts pat sešu mēnešu vidējā rezultāta rezultātā, tad par attiecīgo mēnesi atbalsts netiek saņemts. Taču pēc tam ir iespējams pieteikties uz kompensāciju, lai segtu enerģijas izmaksu pieaugumu par citiem mēnešiem. Ņem vērā tikai tā mēneša ienākumus, par kuru tiek pieprasīta kompensācija enerģijas patēriņa segšanai.</w:t>
      </w:r>
    </w:p>
    <w:p w:rsidR="00265AD0" w:rsidRDefault="00265AD0" w:rsidP="00265AD0">
      <w:pPr>
        <w:spacing w:line="252" w:lineRule="auto"/>
        <w:contextualSpacing/>
        <w:jc w:val="both"/>
        <w:rPr>
          <w:rFonts w:ascii="Times New Roman" w:eastAsia="Times New Roman" w:hAnsi="Times New Roman" w:cs="Times New Roman"/>
          <w:b/>
          <w:i/>
          <w:sz w:val="24"/>
          <w:szCs w:val="24"/>
        </w:rPr>
      </w:pPr>
    </w:p>
    <w:p w:rsidR="00265AD0" w:rsidRPr="00C73E8B" w:rsidRDefault="00265AD0" w:rsidP="00265AD0">
      <w:pPr>
        <w:spacing w:line="252" w:lineRule="auto"/>
        <w:contextualSpacing/>
        <w:jc w:val="both"/>
        <w:rPr>
          <w:rFonts w:ascii="Times New Roman" w:eastAsia="Times New Roman" w:hAnsi="Times New Roman" w:cs="Times New Roman"/>
          <w:b/>
          <w:i/>
          <w:sz w:val="24"/>
          <w:szCs w:val="24"/>
        </w:rPr>
      </w:pPr>
      <w:r w:rsidRPr="00C73E8B">
        <w:rPr>
          <w:rFonts w:ascii="Times New Roman" w:eastAsia="Times New Roman" w:hAnsi="Times New Roman" w:cs="Times New Roman"/>
          <w:b/>
          <w:i/>
          <w:sz w:val="24"/>
          <w:szCs w:val="24"/>
        </w:rPr>
        <w:t>Ko uzskata par ģimeni?</w:t>
      </w:r>
    </w:p>
    <w:p w:rsidR="00265AD0" w:rsidRPr="00C73E8B" w:rsidRDefault="00265AD0" w:rsidP="001B1064">
      <w:pPr>
        <w:spacing w:before="120" w:after="0" w:line="252" w:lineRule="auto"/>
        <w:ind w:firstLine="720"/>
        <w:jc w:val="both"/>
        <w:rPr>
          <w:rFonts w:ascii="Times New Roman" w:eastAsia="Times New Roman" w:hAnsi="Times New Roman" w:cs="Times New Roman"/>
          <w:sz w:val="24"/>
          <w:szCs w:val="24"/>
          <w:bdr w:val="none" w:sz="0" w:space="0" w:color="auto" w:frame="1"/>
        </w:rPr>
      </w:pPr>
      <w:r w:rsidRPr="00C73E8B">
        <w:rPr>
          <w:rFonts w:ascii="Times New Roman" w:eastAsia="Times New Roman" w:hAnsi="Times New Roman" w:cs="Times New Roman"/>
          <w:sz w:val="24"/>
          <w:szCs w:val="24"/>
          <w:bdr w:val="none" w:sz="0" w:space="0" w:color="auto" w:frame="1"/>
        </w:rPr>
        <w:t xml:space="preserve">Ģimenes locekļi ir personas, kuras pieteikuma iesniegšanas brīdī dzīvo vienā mājoklī un kuras saista kopīga mājsaimniecība. Par apvienotu ģimeni tiek uzskatīti arī </w:t>
      </w:r>
      <w:r w:rsidRPr="00C73E8B">
        <w:rPr>
          <w:rFonts w:ascii="Times New Roman" w:eastAsia="Times New Roman" w:hAnsi="Times New Roman" w:cs="Times New Roman"/>
          <w:sz w:val="24"/>
          <w:szCs w:val="24"/>
          <w:bdr w:val="none" w:sz="0" w:space="0" w:color="auto" w:frame="1"/>
        </w:rPr>
        <w:lastRenderedPageBreak/>
        <w:t>radinieki, ja ģimenei ir vairākas dzīvesvietas un tie saskaņā ar iedzīvotāju reģistru reģistrēti dažādās vietās. Par ģimenēm tiek uzskatītas arī precējušās un kopdzīvē dzīvojošas personas.</w:t>
      </w:r>
    </w:p>
    <w:p w:rsidR="00265AD0" w:rsidRPr="00C73E8B" w:rsidRDefault="00265AD0" w:rsidP="001B1064">
      <w:pPr>
        <w:spacing w:before="120" w:after="0" w:line="252" w:lineRule="auto"/>
        <w:ind w:firstLine="720"/>
        <w:jc w:val="both"/>
        <w:rPr>
          <w:rFonts w:ascii="Times New Roman" w:eastAsia="Times New Roman" w:hAnsi="Times New Roman" w:cs="Times New Roman"/>
          <w:sz w:val="24"/>
          <w:szCs w:val="24"/>
          <w:bdr w:val="none" w:sz="0" w:space="0" w:color="auto" w:frame="1"/>
        </w:rPr>
      </w:pPr>
      <w:r w:rsidRPr="00C73E8B">
        <w:rPr>
          <w:rFonts w:ascii="Times New Roman" w:eastAsia="Times New Roman" w:hAnsi="Times New Roman" w:cs="Times New Roman"/>
          <w:sz w:val="24"/>
          <w:szCs w:val="24"/>
          <w:bdr w:val="none" w:sz="0" w:space="0" w:color="auto" w:frame="1"/>
        </w:rPr>
        <w:t>Par ģimenes sastāvā esošām tiek uzskatītas arī personas, kuras īslaicīgi atrodas citur (piemēram, darba dēļ) vai obligātā dienesta karavīri. Izšķiroša ir viņu galvenā vai pastāvīgā dzīvesvieta. Parasti bērni un pusaudži, kas jaunāki par 18 gadiem, neveido atsevišķu ģimeni no saviem vecākiem.</w:t>
      </w:r>
    </w:p>
    <w:p w:rsidR="00265AD0" w:rsidRPr="00C73E8B" w:rsidRDefault="00265AD0" w:rsidP="001B1064">
      <w:pPr>
        <w:spacing w:before="120" w:after="0" w:line="252" w:lineRule="auto"/>
        <w:ind w:firstLine="720"/>
        <w:jc w:val="both"/>
        <w:rPr>
          <w:rFonts w:ascii="Times New Roman" w:eastAsia="Times New Roman" w:hAnsi="Times New Roman" w:cs="Times New Roman"/>
          <w:sz w:val="24"/>
          <w:szCs w:val="24"/>
          <w:bdr w:val="none" w:sz="0" w:space="0" w:color="auto" w:frame="1"/>
        </w:rPr>
      </w:pPr>
      <w:r w:rsidRPr="00C73E8B">
        <w:rPr>
          <w:rFonts w:ascii="Times New Roman" w:eastAsia="Times New Roman" w:hAnsi="Times New Roman" w:cs="Times New Roman"/>
          <w:sz w:val="24"/>
          <w:szCs w:val="24"/>
          <w:bdr w:val="none" w:sz="0" w:space="0" w:color="auto" w:frame="1"/>
        </w:rPr>
        <w:t xml:space="preserve">Personas, kas dzīvo kopīgā mājoklī (mājā, dzīvoklī), parasti veido vienu ģimeni. Mājoklī var dzīvot arī personas, kas nepieder vienai ģimenei. Tas attiecas uz gadījumiem, kad viņiem ir atsevišķa dzīvojamā telpa (vismaz istaba vai atsevišķa istabas daļa), no kurām dažas var būt koplietojamas visām tur mītošajām mājsaimniecībām, un kur viņi saimnieko patstāvīgi, izmantojot savus finanšu, pārtikas un citus mājsaimniecības resursus. Personas, kuras atrodas vispārējā </w:t>
      </w:r>
      <w:r w:rsidRPr="0029167D">
        <w:rPr>
          <w:rFonts w:ascii="Times New Roman" w:eastAsia="Times New Roman" w:hAnsi="Times New Roman" w:cs="Times New Roman"/>
          <w:sz w:val="24"/>
          <w:szCs w:val="24"/>
          <w:bdr w:val="none" w:sz="0" w:space="0" w:color="auto" w:frame="1"/>
        </w:rPr>
        <w:t>aprūpē (</w:t>
      </w:r>
      <w:r>
        <w:rPr>
          <w:rFonts w:ascii="Times New Roman" w:eastAsia="Times New Roman" w:hAnsi="Times New Roman" w:cs="Times New Roman"/>
          <w:sz w:val="24"/>
          <w:szCs w:val="24"/>
          <w:bdr w:val="none" w:sz="0" w:space="0" w:color="auto" w:frame="1"/>
        </w:rPr>
        <w:t>t.s. vispārējā tipa pansionāts</w:t>
      </w:r>
      <w:r w:rsidRPr="0029167D">
        <w:rPr>
          <w:rFonts w:ascii="Times New Roman" w:eastAsia="Times New Roman" w:hAnsi="Times New Roman" w:cs="Times New Roman"/>
          <w:sz w:val="24"/>
          <w:szCs w:val="24"/>
          <w:bdr w:val="none" w:sz="0" w:space="0" w:color="auto" w:frame="1"/>
        </w:rPr>
        <w:t>), diennakts īpašajā aprūpē vai ir aizturētas vai ieslodzīju</w:t>
      </w:r>
      <w:r w:rsidRPr="00C73E8B">
        <w:rPr>
          <w:rFonts w:ascii="Times New Roman" w:eastAsia="Times New Roman" w:hAnsi="Times New Roman" w:cs="Times New Roman"/>
          <w:sz w:val="24"/>
          <w:szCs w:val="24"/>
          <w:bdr w:val="none" w:sz="0" w:space="0" w:color="auto" w:frame="1"/>
        </w:rPr>
        <w:t xml:space="preserve">mā, netiek uzskatītas par ģimenes locekļiem. Ja </w:t>
      </w:r>
      <w:r w:rsidRPr="0029167D">
        <w:rPr>
          <w:rFonts w:ascii="Times New Roman" w:eastAsia="Times New Roman" w:hAnsi="Times New Roman" w:cs="Times New Roman"/>
          <w:sz w:val="24"/>
          <w:szCs w:val="24"/>
          <w:bdr w:val="none" w:sz="0" w:space="0" w:color="auto" w:frame="1"/>
        </w:rPr>
        <w:t>pretendents sniedz alternatīvo ārpusģimenes aprūpes pakalpojumu, par ģimenes locekļiem tiek uzskatīti arī bērni, kuri saņem pakalpojumu.</w:t>
      </w:r>
    </w:p>
    <w:p w:rsidR="00265AD0" w:rsidRPr="00C73E8B" w:rsidRDefault="00265AD0" w:rsidP="001B1064">
      <w:pPr>
        <w:spacing w:before="120" w:after="0" w:line="252" w:lineRule="auto"/>
        <w:jc w:val="both"/>
        <w:rPr>
          <w:rFonts w:ascii="Times New Roman" w:eastAsia="Times New Roman" w:hAnsi="Times New Roman" w:cs="Times New Roman"/>
          <w:color w:val="333333"/>
          <w:sz w:val="24"/>
          <w:szCs w:val="24"/>
          <w:bdr w:val="none" w:sz="0" w:space="0" w:color="auto" w:frame="1"/>
        </w:rPr>
      </w:pPr>
    </w:p>
    <w:p w:rsidR="00265AD0" w:rsidRPr="00C73E8B" w:rsidRDefault="00265AD0" w:rsidP="001B1064">
      <w:pPr>
        <w:spacing w:before="120" w:after="0" w:line="252" w:lineRule="auto"/>
        <w:jc w:val="both"/>
        <w:rPr>
          <w:rFonts w:ascii="Times New Roman" w:eastAsia="Times New Roman" w:hAnsi="Times New Roman" w:cs="Times New Roman"/>
          <w:b/>
          <w:bCs/>
          <w:sz w:val="24"/>
          <w:szCs w:val="24"/>
        </w:rPr>
      </w:pPr>
      <w:r w:rsidRPr="00C73E8B">
        <w:rPr>
          <w:rFonts w:ascii="Times New Roman" w:eastAsia="Times New Roman" w:hAnsi="Times New Roman" w:cs="Times New Roman"/>
          <w:b/>
          <w:bCs/>
          <w:sz w:val="24"/>
          <w:szCs w:val="24"/>
        </w:rPr>
        <w:t>Ko darīt situācijā, ja faktiskā ģimenes (vai ģimenes locekļa) dzīves vieta nesakrīt ar iedzīvotāju reģistra datiem?</w:t>
      </w:r>
    </w:p>
    <w:p w:rsidR="00265AD0" w:rsidRPr="00C73E8B" w:rsidRDefault="00265AD0" w:rsidP="001B1064">
      <w:pPr>
        <w:spacing w:before="120" w:after="0" w:line="252" w:lineRule="auto"/>
        <w:ind w:firstLine="720"/>
        <w:jc w:val="both"/>
        <w:rPr>
          <w:rFonts w:ascii="Times New Roman" w:eastAsia="Times New Roman" w:hAnsi="Times New Roman" w:cs="Times New Roman"/>
          <w:sz w:val="24"/>
          <w:szCs w:val="24"/>
          <w:bdr w:val="none" w:sz="0" w:space="0" w:color="auto" w:frame="1"/>
        </w:rPr>
      </w:pPr>
      <w:r w:rsidRPr="00C73E8B">
        <w:rPr>
          <w:rFonts w:ascii="Times New Roman" w:eastAsia="Times New Roman" w:hAnsi="Times New Roman" w:cs="Times New Roman"/>
          <w:sz w:val="24"/>
          <w:szCs w:val="24"/>
          <w:bdr w:val="none" w:sz="0" w:space="0" w:color="auto" w:frame="1"/>
        </w:rPr>
        <w:t>Atbalstam var pieteikties tikai pagasta vai pilsētas pašvaldībā atbilstoši tās iedzīvotāju reģistram. Iesniegumu attiecīgajā pašvaldībā ar savu faktisko dzīvesvietu saistīto enerģijas izmaksu atbalstam var iesniegt arī tad, ja dzīvesvieta atrodas citā pašvaldībā.</w:t>
      </w:r>
    </w:p>
    <w:p w:rsidR="00265AD0" w:rsidRPr="00C73E8B" w:rsidRDefault="00265AD0" w:rsidP="001B1064">
      <w:pPr>
        <w:spacing w:before="120" w:after="0" w:line="252" w:lineRule="auto"/>
        <w:ind w:firstLine="720"/>
        <w:jc w:val="both"/>
        <w:rPr>
          <w:rFonts w:ascii="Times New Roman" w:eastAsia="Times New Roman" w:hAnsi="Times New Roman" w:cs="Times New Roman"/>
          <w:sz w:val="24"/>
          <w:szCs w:val="24"/>
          <w:bdr w:val="none" w:sz="0" w:space="0" w:color="auto" w:frame="1"/>
        </w:rPr>
      </w:pPr>
      <w:r w:rsidRPr="00C73E8B">
        <w:rPr>
          <w:rFonts w:ascii="Times New Roman" w:eastAsia="Times New Roman" w:hAnsi="Times New Roman" w:cs="Times New Roman"/>
          <w:sz w:val="24"/>
          <w:szCs w:val="24"/>
          <w:bdr w:val="none" w:sz="0" w:space="0" w:color="auto" w:frame="1"/>
        </w:rPr>
        <w:t>Taču jāņem vērā, ka ir jāpierāda, ka šī ir pieteicēja ģimenes faktiskā galvenā dzīvesvieta un ģimenes izdevumi. Piemēram, jāiesniedz īres līgums.</w:t>
      </w:r>
    </w:p>
    <w:p w:rsidR="00265AD0" w:rsidRPr="00C73E8B" w:rsidRDefault="00265AD0" w:rsidP="001B1064">
      <w:pPr>
        <w:spacing w:before="120" w:after="0" w:line="252" w:lineRule="auto"/>
        <w:ind w:firstLine="720"/>
        <w:jc w:val="both"/>
        <w:rPr>
          <w:rFonts w:ascii="Times New Roman" w:eastAsia="Times New Roman" w:hAnsi="Times New Roman" w:cs="Times New Roman"/>
          <w:sz w:val="24"/>
          <w:szCs w:val="24"/>
          <w:bdr w:val="none" w:sz="0" w:space="0" w:color="auto" w:frame="1"/>
        </w:rPr>
      </w:pPr>
      <w:r w:rsidRPr="00C73E8B">
        <w:rPr>
          <w:rFonts w:ascii="Times New Roman" w:eastAsia="Times New Roman" w:hAnsi="Times New Roman" w:cs="Times New Roman"/>
          <w:sz w:val="24"/>
          <w:szCs w:val="24"/>
          <w:bdr w:val="none" w:sz="0" w:space="0" w:color="auto" w:frame="1"/>
        </w:rPr>
        <w:t>Ja ģimenes locekļi reģistrēti dažādās pašvaldībās, pieteikums jāiesniedz tajā pašvaldībā, kurā pieteicējs ir reģistrēts.</w:t>
      </w:r>
    </w:p>
    <w:p w:rsidR="00265AD0" w:rsidRPr="00C73E8B" w:rsidRDefault="00265AD0" w:rsidP="001B1064">
      <w:pPr>
        <w:spacing w:before="120" w:after="0" w:line="252" w:lineRule="auto"/>
        <w:ind w:firstLine="720"/>
        <w:jc w:val="both"/>
        <w:rPr>
          <w:rFonts w:ascii="Times New Roman" w:eastAsia="Times New Roman" w:hAnsi="Times New Roman" w:cs="Times New Roman"/>
          <w:sz w:val="24"/>
          <w:szCs w:val="24"/>
          <w:bdr w:val="none" w:sz="0" w:space="0" w:color="auto" w:frame="1"/>
        </w:rPr>
      </w:pPr>
      <w:r w:rsidRPr="00C73E8B">
        <w:rPr>
          <w:rFonts w:ascii="Times New Roman" w:eastAsia="Times New Roman" w:hAnsi="Times New Roman" w:cs="Times New Roman"/>
          <w:sz w:val="24"/>
          <w:szCs w:val="24"/>
          <w:bdr w:val="none" w:sz="0" w:space="0" w:color="auto" w:frame="1"/>
        </w:rPr>
        <w:t>Pirms iesnieguma iesniegšanas vēlams mainīt ģimenes dzīvesvietas datus iedzīvotāju reģistrā, tas atvieglos arī pieteikšanos atbalstam.</w:t>
      </w:r>
    </w:p>
    <w:p w:rsidR="00265AD0" w:rsidRPr="00C73E8B" w:rsidRDefault="00265AD0" w:rsidP="001B1064">
      <w:pPr>
        <w:spacing w:before="120" w:after="0" w:line="252" w:lineRule="auto"/>
        <w:jc w:val="both"/>
        <w:rPr>
          <w:rFonts w:ascii="Times New Roman" w:eastAsia="Times New Roman" w:hAnsi="Times New Roman" w:cs="Times New Roman"/>
          <w:sz w:val="24"/>
          <w:szCs w:val="24"/>
        </w:rPr>
      </w:pPr>
    </w:p>
    <w:p w:rsidR="00265AD0" w:rsidRPr="00C73E8B" w:rsidRDefault="00265AD0" w:rsidP="001B1064">
      <w:pPr>
        <w:spacing w:before="120" w:after="0" w:line="252" w:lineRule="auto"/>
        <w:jc w:val="both"/>
        <w:rPr>
          <w:rFonts w:ascii="Times New Roman" w:eastAsia="Times New Roman" w:hAnsi="Times New Roman" w:cs="Times New Roman"/>
          <w:b/>
          <w:sz w:val="24"/>
          <w:szCs w:val="24"/>
        </w:rPr>
      </w:pPr>
      <w:r w:rsidRPr="00C73E8B">
        <w:rPr>
          <w:rFonts w:ascii="Times New Roman" w:eastAsia="Times New Roman" w:hAnsi="Times New Roman" w:cs="Times New Roman"/>
          <w:b/>
          <w:sz w:val="24"/>
          <w:szCs w:val="24"/>
        </w:rPr>
        <w:t>Ja pieaugušais bērns palīdz uzturēt savu vecāku , vai var saņemt atbalstu?</w:t>
      </w:r>
    </w:p>
    <w:p w:rsidR="00265AD0" w:rsidRPr="00C73E8B" w:rsidRDefault="00265AD0" w:rsidP="001B1064">
      <w:pPr>
        <w:spacing w:before="120" w:after="0" w:line="252" w:lineRule="auto"/>
        <w:ind w:firstLine="720"/>
        <w:jc w:val="both"/>
        <w:rPr>
          <w:rFonts w:ascii="Times New Roman" w:eastAsia="Times New Roman" w:hAnsi="Times New Roman" w:cs="Times New Roman"/>
          <w:sz w:val="24"/>
          <w:szCs w:val="24"/>
          <w:bdr w:val="none" w:sz="0" w:space="0" w:color="auto" w:frame="1"/>
        </w:rPr>
      </w:pPr>
      <w:r w:rsidRPr="00C73E8B">
        <w:rPr>
          <w:rFonts w:ascii="Times New Roman" w:eastAsia="Times New Roman" w:hAnsi="Times New Roman" w:cs="Times New Roman"/>
          <w:sz w:val="24"/>
          <w:szCs w:val="24"/>
          <w:bdr w:val="none" w:sz="0" w:space="0" w:color="auto" w:frame="1"/>
        </w:rPr>
        <w:t>Ja māte ir pensionāre un saskaņā ar noteikumiem pieder pabalsta saņēmēja mērķa grupai, bet rēķini ir uz meitas vārda un tos arī maksā meita, tad šie apstākļi nav šķērslis kompensācijas saņemšanai. Šajā piemērā uz atbalstu var pretendēt māte vai faktiskais mājokļa lietotājs, bet meita, protams, var palīdzēt ar mātes iesniegumu. Šādi uzturlīdzekļi tiek uzskatīti par ģimenes sniegtu pabalstu, un tāpēc nemonetārais atbalsts netiek pieskaitīts pensionētās mātes ienākumiem.</w:t>
      </w:r>
    </w:p>
    <w:p w:rsidR="00265AD0" w:rsidRPr="00C73E8B" w:rsidRDefault="00265AD0" w:rsidP="001B1064">
      <w:pPr>
        <w:spacing w:before="120" w:after="0" w:line="252" w:lineRule="auto"/>
        <w:jc w:val="both"/>
        <w:rPr>
          <w:rFonts w:ascii="Times New Roman" w:eastAsia="Times New Roman" w:hAnsi="Times New Roman" w:cs="Times New Roman"/>
          <w:sz w:val="24"/>
          <w:szCs w:val="24"/>
        </w:rPr>
      </w:pPr>
    </w:p>
    <w:p w:rsidR="00265AD0" w:rsidRPr="00C73E8B" w:rsidRDefault="00265AD0" w:rsidP="001B1064">
      <w:pPr>
        <w:spacing w:before="120" w:after="0" w:line="252" w:lineRule="auto"/>
        <w:jc w:val="both"/>
        <w:rPr>
          <w:rFonts w:ascii="Times New Roman" w:eastAsia="Times New Roman" w:hAnsi="Times New Roman" w:cs="Times New Roman"/>
          <w:b/>
          <w:sz w:val="24"/>
          <w:szCs w:val="24"/>
        </w:rPr>
      </w:pPr>
      <w:r w:rsidRPr="00C73E8B">
        <w:rPr>
          <w:rFonts w:ascii="Times New Roman" w:eastAsia="Times New Roman" w:hAnsi="Times New Roman" w:cs="Times New Roman"/>
          <w:b/>
          <w:sz w:val="24"/>
          <w:szCs w:val="24"/>
        </w:rPr>
        <w:t>Ja pieteikumu iesniedz pašnodarbināta persona, kādi ir viņa ienākumi?</w:t>
      </w:r>
    </w:p>
    <w:p w:rsidR="00265AD0" w:rsidRPr="00C73E8B" w:rsidRDefault="00265AD0" w:rsidP="001B1064">
      <w:pPr>
        <w:spacing w:before="120" w:after="0" w:line="252" w:lineRule="auto"/>
        <w:ind w:firstLine="720"/>
        <w:jc w:val="both"/>
        <w:rPr>
          <w:rFonts w:ascii="Times New Roman" w:eastAsia="Times New Roman" w:hAnsi="Times New Roman" w:cs="Times New Roman"/>
          <w:sz w:val="24"/>
          <w:szCs w:val="24"/>
        </w:rPr>
      </w:pPr>
      <w:r w:rsidRPr="00C73E8B">
        <w:rPr>
          <w:rFonts w:ascii="Times New Roman" w:eastAsia="Times New Roman" w:hAnsi="Times New Roman" w:cs="Times New Roman"/>
          <w:sz w:val="24"/>
          <w:szCs w:val="24"/>
        </w:rPr>
        <w:t xml:space="preserve">Iesniedzot iesniegumu, pašnodarbinātajam jāiesniedz izziņa par ienākumiem un izdevumiem par attiecīgo periodu, uzrādot savus ienākumus (peļņu/zaudējumus). </w:t>
      </w:r>
      <w:r w:rsidRPr="00C73E8B">
        <w:rPr>
          <w:rFonts w:ascii="Times New Roman" w:eastAsia="Times New Roman" w:hAnsi="Times New Roman" w:cs="Times New Roman"/>
          <w:sz w:val="24"/>
          <w:szCs w:val="24"/>
        </w:rPr>
        <w:lastRenderedPageBreak/>
        <w:t>Papildus pašnodarbinātajam iesniegumā jānorāda, kuru mājokļa daļu (%) viņš izmanto mājoklim un kuru uzņēmējdarbībai. Ja pašnodarbinātā darbība ir sezonāla, pašnodarbinātā persona var iesniegt arī ilgtermiņa ienākumu deklarāciju (maksimums 12 mēneši) un par ikmēneša ienākumiem tiek uzskatīta perioda vidējā peļņa/zaudējumi.</w:t>
      </w:r>
    </w:p>
    <w:sectPr w:rsidR="00265AD0" w:rsidRPr="00C73E8B">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15E" w:rsidRDefault="0056115E" w:rsidP="00C03E62">
      <w:pPr>
        <w:spacing w:after="0" w:line="240" w:lineRule="auto"/>
      </w:pPr>
      <w:r>
        <w:separator/>
      </w:r>
    </w:p>
  </w:endnote>
  <w:endnote w:type="continuationSeparator" w:id="0">
    <w:p w:rsidR="0056115E" w:rsidRDefault="0056115E" w:rsidP="00C03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107388"/>
      <w:docPartObj>
        <w:docPartGallery w:val="Page Numbers (Bottom of Page)"/>
        <w:docPartUnique/>
      </w:docPartObj>
    </w:sdtPr>
    <w:sdtEndPr>
      <w:rPr>
        <w:noProof/>
      </w:rPr>
    </w:sdtEndPr>
    <w:sdtContent>
      <w:p w:rsidR="00C03E62" w:rsidRDefault="00C03E62">
        <w:pPr>
          <w:pStyle w:val="Footer"/>
          <w:jc w:val="center"/>
        </w:pPr>
        <w:r>
          <w:fldChar w:fldCharType="begin"/>
        </w:r>
        <w:r>
          <w:instrText xml:space="preserve"> PAGE   \* MERGEFORMAT </w:instrText>
        </w:r>
        <w:r>
          <w:fldChar w:fldCharType="separate"/>
        </w:r>
        <w:r w:rsidR="005D03AC">
          <w:rPr>
            <w:noProof/>
          </w:rPr>
          <w:t>1</w:t>
        </w:r>
        <w:r>
          <w:rPr>
            <w:noProof/>
          </w:rPr>
          <w:fldChar w:fldCharType="end"/>
        </w:r>
      </w:p>
    </w:sdtContent>
  </w:sdt>
  <w:p w:rsidR="00C03E62" w:rsidRDefault="00C03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15E" w:rsidRDefault="0056115E" w:rsidP="00C03E62">
      <w:pPr>
        <w:spacing w:after="0" w:line="240" w:lineRule="auto"/>
      </w:pPr>
      <w:r>
        <w:separator/>
      </w:r>
    </w:p>
  </w:footnote>
  <w:footnote w:type="continuationSeparator" w:id="0">
    <w:p w:rsidR="0056115E" w:rsidRDefault="0056115E" w:rsidP="00C03E62">
      <w:pPr>
        <w:spacing w:after="0" w:line="240" w:lineRule="auto"/>
      </w:pPr>
      <w:r>
        <w:continuationSeparator/>
      </w:r>
    </w:p>
  </w:footnote>
  <w:footnote w:id="1">
    <w:p w:rsidR="00265AD0" w:rsidRPr="00C73E8B" w:rsidRDefault="00265AD0" w:rsidP="00265AD0">
      <w:pPr>
        <w:pStyle w:val="FootnoteText"/>
        <w:jc w:val="both"/>
      </w:pPr>
      <w:r w:rsidRPr="00C73E8B">
        <w:rPr>
          <w:rStyle w:val="FootnoteReference"/>
          <w:rFonts w:cs="Calibri"/>
        </w:rPr>
        <w:footnoteRef/>
      </w:r>
      <w:r w:rsidRPr="00C73E8B">
        <w:t xml:space="preserve"> </w:t>
      </w:r>
      <w:proofErr w:type="spellStart"/>
      <w:r w:rsidRPr="00C73E8B">
        <w:rPr>
          <w:rFonts w:ascii="Times New Roman" w:hAnsi="Times New Roman"/>
        </w:rPr>
        <w:t>Valsts</w:t>
      </w:r>
      <w:proofErr w:type="spellEnd"/>
      <w:r w:rsidRPr="00C73E8B">
        <w:rPr>
          <w:rFonts w:ascii="Times New Roman" w:hAnsi="Times New Roman"/>
        </w:rPr>
        <w:t xml:space="preserve"> </w:t>
      </w:r>
      <w:proofErr w:type="spellStart"/>
      <w:r w:rsidRPr="00C73E8B">
        <w:rPr>
          <w:rFonts w:ascii="Times New Roman" w:hAnsi="Times New Roman"/>
        </w:rPr>
        <w:t>pārvaldes</w:t>
      </w:r>
      <w:proofErr w:type="spellEnd"/>
      <w:r w:rsidRPr="00C73E8B">
        <w:rPr>
          <w:rFonts w:ascii="Times New Roman" w:hAnsi="Times New Roman"/>
        </w:rPr>
        <w:t xml:space="preserve"> </w:t>
      </w:r>
      <w:proofErr w:type="spellStart"/>
      <w:r w:rsidRPr="00C73E8B">
        <w:rPr>
          <w:rFonts w:ascii="Times New Roman" w:hAnsi="Times New Roman"/>
        </w:rPr>
        <w:t>ministra</w:t>
      </w:r>
      <w:proofErr w:type="spellEnd"/>
      <w:r w:rsidRPr="00C73E8B">
        <w:rPr>
          <w:rFonts w:ascii="Times New Roman" w:hAnsi="Times New Roman"/>
        </w:rPr>
        <w:t xml:space="preserve"> </w:t>
      </w:r>
      <w:proofErr w:type="spellStart"/>
      <w:r w:rsidRPr="00C73E8B">
        <w:rPr>
          <w:rFonts w:ascii="Times New Roman" w:hAnsi="Times New Roman"/>
        </w:rPr>
        <w:t>noteikumu</w:t>
      </w:r>
      <w:proofErr w:type="spellEnd"/>
      <w:r w:rsidRPr="00C73E8B">
        <w:rPr>
          <w:rFonts w:ascii="Times New Roman" w:hAnsi="Times New Roman"/>
        </w:rPr>
        <w:t xml:space="preserve"> “</w:t>
      </w:r>
      <w:proofErr w:type="spellStart"/>
      <w:r w:rsidRPr="00C73E8B">
        <w:rPr>
          <w:rFonts w:ascii="Times New Roman" w:hAnsi="Times New Roman"/>
        </w:rPr>
        <w:t>Pasākums</w:t>
      </w:r>
      <w:proofErr w:type="spellEnd"/>
      <w:r w:rsidRPr="00C73E8B">
        <w:rPr>
          <w:rFonts w:ascii="Times New Roman" w:hAnsi="Times New Roman"/>
        </w:rPr>
        <w:t xml:space="preserve"> </w:t>
      </w:r>
      <w:proofErr w:type="spellStart"/>
      <w:r w:rsidRPr="00C73E8B">
        <w:rPr>
          <w:rFonts w:ascii="Times New Roman" w:hAnsi="Times New Roman"/>
        </w:rPr>
        <w:t>energoresursu</w:t>
      </w:r>
      <w:proofErr w:type="spellEnd"/>
      <w:r w:rsidRPr="00C73E8B">
        <w:rPr>
          <w:rFonts w:ascii="Times New Roman" w:hAnsi="Times New Roman"/>
        </w:rPr>
        <w:t xml:space="preserve"> </w:t>
      </w:r>
      <w:proofErr w:type="spellStart"/>
      <w:r w:rsidRPr="00C73E8B">
        <w:rPr>
          <w:rFonts w:ascii="Times New Roman" w:hAnsi="Times New Roman"/>
        </w:rPr>
        <w:t>cenu</w:t>
      </w:r>
      <w:proofErr w:type="spellEnd"/>
      <w:r w:rsidRPr="00C73E8B">
        <w:rPr>
          <w:rFonts w:ascii="Times New Roman" w:hAnsi="Times New Roman"/>
        </w:rPr>
        <w:t xml:space="preserve"> </w:t>
      </w:r>
      <w:proofErr w:type="spellStart"/>
      <w:r w:rsidRPr="00C73E8B">
        <w:rPr>
          <w:rFonts w:ascii="Times New Roman" w:hAnsi="Times New Roman"/>
        </w:rPr>
        <w:t>kāpuma</w:t>
      </w:r>
      <w:proofErr w:type="spellEnd"/>
      <w:r w:rsidRPr="00C73E8B">
        <w:rPr>
          <w:rFonts w:ascii="Times New Roman" w:hAnsi="Times New Roman"/>
        </w:rPr>
        <w:t xml:space="preserve"> </w:t>
      </w:r>
      <w:proofErr w:type="spellStart"/>
      <w:r w:rsidRPr="00C73E8B">
        <w:rPr>
          <w:rFonts w:ascii="Times New Roman" w:hAnsi="Times New Roman"/>
        </w:rPr>
        <w:t>mazināšanai</w:t>
      </w:r>
      <w:proofErr w:type="spellEnd"/>
      <w:r w:rsidRPr="00C73E8B">
        <w:rPr>
          <w:rFonts w:ascii="Times New Roman" w:hAnsi="Times New Roman"/>
        </w:rPr>
        <w:t xml:space="preserve"> </w:t>
      </w:r>
      <w:proofErr w:type="spellStart"/>
      <w:r w:rsidRPr="00C73E8B">
        <w:rPr>
          <w:rFonts w:ascii="Times New Roman" w:hAnsi="Times New Roman"/>
        </w:rPr>
        <w:t>mazāk</w:t>
      </w:r>
      <w:proofErr w:type="spellEnd"/>
      <w:r w:rsidRPr="00C73E8B">
        <w:rPr>
          <w:rFonts w:ascii="Times New Roman" w:hAnsi="Times New Roman"/>
        </w:rPr>
        <w:t xml:space="preserve"> </w:t>
      </w:r>
      <w:proofErr w:type="spellStart"/>
      <w:r w:rsidRPr="00C73E8B">
        <w:rPr>
          <w:rFonts w:ascii="Times New Roman" w:hAnsi="Times New Roman"/>
        </w:rPr>
        <w:t>apdrošinātām</w:t>
      </w:r>
      <w:proofErr w:type="spellEnd"/>
      <w:r w:rsidRPr="00C73E8B">
        <w:rPr>
          <w:rFonts w:ascii="Times New Roman" w:hAnsi="Times New Roman"/>
        </w:rPr>
        <w:t xml:space="preserve"> </w:t>
      </w:r>
      <w:proofErr w:type="spellStart"/>
      <w:r w:rsidRPr="00C73E8B">
        <w:rPr>
          <w:rFonts w:ascii="Times New Roman" w:hAnsi="Times New Roman"/>
        </w:rPr>
        <w:t>ģimenēm</w:t>
      </w:r>
      <w:proofErr w:type="spellEnd"/>
      <w:r w:rsidRPr="00C73E8B">
        <w:rPr>
          <w:rFonts w:ascii="Times New Roman" w:hAnsi="Times New Roman"/>
        </w:rPr>
        <w:t xml:space="preserve">” </w:t>
      </w:r>
      <w:proofErr w:type="spellStart"/>
      <w:r w:rsidRPr="00C73E8B">
        <w:rPr>
          <w:rFonts w:ascii="Times New Roman" w:hAnsi="Times New Roman"/>
        </w:rPr>
        <w:t>paskaidrojuma</w:t>
      </w:r>
      <w:proofErr w:type="spellEnd"/>
      <w:r w:rsidRPr="00C73E8B">
        <w:rPr>
          <w:rFonts w:ascii="Times New Roman" w:hAnsi="Times New Roman"/>
        </w:rPr>
        <w:t xml:space="preserve"> </w:t>
      </w:r>
      <w:proofErr w:type="spellStart"/>
      <w:r w:rsidRPr="00C73E8B">
        <w:rPr>
          <w:rFonts w:ascii="Times New Roman" w:hAnsi="Times New Roman"/>
        </w:rPr>
        <w:t>raksts</w:t>
      </w:r>
      <w:proofErr w:type="spellEnd"/>
      <w:r w:rsidRPr="00C73E8B">
        <w:rPr>
          <w:rFonts w:ascii="Times New Roman" w:hAnsi="Times New Roman"/>
        </w:rPr>
        <w:t xml:space="preserve">, </w:t>
      </w:r>
      <w:proofErr w:type="spellStart"/>
      <w:r w:rsidRPr="00C73E8B">
        <w:rPr>
          <w:rFonts w:ascii="Times New Roman" w:hAnsi="Times New Roman"/>
        </w:rPr>
        <w:t>Riigihalduse</w:t>
      </w:r>
      <w:proofErr w:type="spellEnd"/>
      <w:r w:rsidRPr="00C73E8B">
        <w:rPr>
          <w:rFonts w:ascii="Times New Roman" w:hAnsi="Times New Roman"/>
        </w:rPr>
        <w:t xml:space="preserve"> </w:t>
      </w:r>
      <w:proofErr w:type="spellStart"/>
      <w:r w:rsidRPr="00C73E8B">
        <w:rPr>
          <w:rFonts w:ascii="Times New Roman" w:hAnsi="Times New Roman"/>
        </w:rPr>
        <w:t>ministri</w:t>
      </w:r>
      <w:proofErr w:type="spellEnd"/>
      <w:r w:rsidRPr="00C73E8B">
        <w:rPr>
          <w:rFonts w:ascii="Times New Roman" w:hAnsi="Times New Roman"/>
        </w:rPr>
        <w:t xml:space="preserve"> </w:t>
      </w:r>
      <w:proofErr w:type="spellStart"/>
      <w:r w:rsidRPr="00C73E8B">
        <w:rPr>
          <w:rFonts w:ascii="Times New Roman" w:hAnsi="Times New Roman"/>
        </w:rPr>
        <w:t>määruse</w:t>
      </w:r>
      <w:proofErr w:type="spellEnd"/>
      <w:r w:rsidRPr="00C73E8B">
        <w:rPr>
          <w:rFonts w:ascii="Times New Roman" w:hAnsi="Times New Roman"/>
        </w:rPr>
        <w:t xml:space="preserve"> „</w:t>
      </w:r>
      <w:proofErr w:type="spellStart"/>
      <w:r w:rsidRPr="00C73E8B">
        <w:rPr>
          <w:rFonts w:ascii="Times New Roman" w:hAnsi="Times New Roman"/>
        </w:rPr>
        <w:t>Energiahinna</w:t>
      </w:r>
      <w:proofErr w:type="spellEnd"/>
      <w:r w:rsidRPr="00C73E8B">
        <w:rPr>
          <w:rFonts w:ascii="Times New Roman" w:hAnsi="Times New Roman"/>
        </w:rPr>
        <w:t xml:space="preserve"> </w:t>
      </w:r>
      <w:proofErr w:type="spellStart"/>
      <w:r w:rsidRPr="00C73E8B">
        <w:rPr>
          <w:rFonts w:ascii="Times New Roman" w:hAnsi="Times New Roman"/>
        </w:rPr>
        <w:t>tõusu</w:t>
      </w:r>
      <w:proofErr w:type="spellEnd"/>
      <w:r w:rsidRPr="00C73E8B">
        <w:rPr>
          <w:rFonts w:ascii="Times New Roman" w:hAnsi="Times New Roman"/>
        </w:rPr>
        <w:t xml:space="preserve"> </w:t>
      </w:r>
      <w:proofErr w:type="spellStart"/>
      <w:r w:rsidRPr="00C73E8B">
        <w:rPr>
          <w:rFonts w:ascii="Times New Roman" w:hAnsi="Times New Roman"/>
        </w:rPr>
        <w:t>leevendusmeede</w:t>
      </w:r>
      <w:proofErr w:type="spellEnd"/>
      <w:r w:rsidRPr="00C73E8B">
        <w:rPr>
          <w:rFonts w:ascii="Times New Roman" w:hAnsi="Times New Roman"/>
        </w:rPr>
        <w:t xml:space="preserve"> </w:t>
      </w:r>
      <w:proofErr w:type="spellStart"/>
      <w:r w:rsidRPr="00C73E8B">
        <w:rPr>
          <w:rFonts w:ascii="Times New Roman" w:hAnsi="Times New Roman"/>
        </w:rPr>
        <w:t>vähemkindlustatud</w:t>
      </w:r>
      <w:proofErr w:type="spellEnd"/>
      <w:r w:rsidRPr="00C73E8B">
        <w:rPr>
          <w:rFonts w:ascii="Times New Roman" w:hAnsi="Times New Roman"/>
        </w:rPr>
        <w:t xml:space="preserve"> </w:t>
      </w:r>
      <w:proofErr w:type="spellStart"/>
      <w:r w:rsidRPr="00C73E8B">
        <w:rPr>
          <w:rFonts w:ascii="Times New Roman" w:hAnsi="Times New Roman"/>
        </w:rPr>
        <w:t>peredele</w:t>
      </w:r>
      <w:proofErr w:type="spellEnd"/>
      <w:r w:rsidRPr="00C73E8B">
        <w:rPr>
          <w:rFonts w:ascii="Times New Roman" w:hAnsi="Times New Roman"/>
        </w:rPr>
        <w:t xml:space="preserve">“ </w:t>
      </w:r>
      <w:proofErr w:type="spellStart"/>
      <w:r w:rsidRPr="00C73E8B">
        <w:rPr>
          <w:rFonts w:ascii="Times New Roman" w:hAnsi="Times New Roman"/>
        </w:rPr>
        <w:t>seletus</w:t>
      </w:r>
      <w:proofErr w:type="spellEnd"/>
      <w:r w:rsidRPr="00C73E8B">
        <w:rPr>
          <w:rFonts w:ascii="Times New Roman" w:hAnsi="Times New Roman"/>
        </w:rPr>
        <w:t xml:space="preserve">, </w:t>
      </w:r>
      <w:proofErr w:type="spellStart"/>
      <w:r w:rsidRPr="00C73E8B">
        <w:rPr>
          <w:rFonts w:ascii="Times New Roman" w:hAnsi="Times New Roman"/>
        </w:rPr>
        <w:t>pieejams</w:t>
      </w:r>
      <w:proofErr w:type="spellEnd"/>
      <w:r w:rsidRPr="00C73E8B">
        <w:rPr>
          <w:rFonts w:ascii="Times New Roman" w:hAnsi="Times New Roman"/>
        </w:rPr>
        <w:t xml:space="preserve">: </w:t>
      </w:r>
      <w:hyperlink r:id="rId1" w:history="1">
        <w:r w:rsidRPr="00C73E8B">
          <w:rPr>
            <w:rStyle w:val="Hyperlink"/>
            <w:rFonts w:ascii="Times New Roman" w:hAnsi="Times New Roman"/>
          </w:rPr>
          <w:t>https://www.rahandusministeerium.ee/et/energiakulude-huvitamine</w:t>
        </w:r>
      </w:hyperlink>
    </w:p>
  </w:footnote>
  <w:footnote w:id="2">
    <w:p w:rsidR="00265AD0" w:rsidRPr="00C73E8B" w:rsidRDefault="00265AD0" w:rsidP="00265AD0">
      <w:pPr>
        <w:pStyle w:val="Heading1"/>
        <w:jc w:val="both"/>
        <w:rPr>
          <w:sz w:val="20"/>
          <w:szCs w:val="20"/>
        </w:rPr>
      </w:pPr>
      <w:r w:rsidRPr="00C73E8B">
        <w:rPr>
          <w:rStyle w:val="FootnoteReference"/>
          <w:rFonts w:ascii="Calibri" w:hAnsi="Calibri"/>
          <w:b w:val="0"/>
          <w:bCs w:val="0"/>
          <w:color w:val="auto"/>
          <w:kern w:val="0"/>
          <w:sz w:val="20"/>
          <w:szCs w:val="20"/>
        </w:rPr>
        <w:footnoteRef/>
      </w:r>
      <w:r w:rsidRPr="00C73E8B">
        <w:rPr>
          <w:rFonts w:ascii="Times New Roman" w:hAnsi="Times New Roman" w:cs="Times New Roman"/>
          <w:b w:val="0"/>
          <w:bCs w:val="0"/>
          <w:color w:val="auto"/>
          <w:kern w:val="0"/>
          <w:sz w:val="20"/>
          <w:szCs w:val="20"/>
        </w:rPr>
        <w:t xml:space="preserve">Igaunijas Finanšu ministrijas tīmekļa vietne, sadaļa </w:t>
      </w:r>
      <w:proofErr w:type="spellStart"/>
      <w:r w:rsidRPr="00C73E8B">
        <w:rPr>
          <w:rFonts w:ascii="Times New Roman" w:hAnsi="Times New Roman" w:cs="Times New Roman"/>
          <w:b w:val="0"/>
          <w:bCs w:val="0"/>
          <w:color w:val="auto"/>
          <w:kern w:val="0"/>
          <w:sz w:val="20"/>
          <w:szCs w:val="20"/>
        </w:rPr>
        <w:t>Reimbursement</w:t>
      </w:r>
      <w:proofErr w:type="spellEnd"/>
      <w:r w:rsidRPr="00C73E8B">
        <w:rPr>
          <w:rFonts w:ascii="Times New Roman" w:hAnsi="Times New Roman" w:cs="Times New Roman"/>
          <w:b w:val="0"/>
          <w:bCs w:val="0"/>
          <w:color w:val="auto"/>
          <w:kern w:val="0"/>
          <w:sz w:val="20"/>
          <w:szCs w:val="20"/>
        </w:rPr>
        <w:t xml:space="preserve"> </w:t>
      </w:r>
      <w:proofErr w:type="spellStart"/>
      <w:r w:rsidRPr="00C73E8B">
        <w:rPr>
          <w:rFonts w:ascii="Times New Roman" w:hAnsi="Times New Roman" w:cs="Times New Roman"/>
          <w:b w:val="0"/>
          <w:bCs w:val="0"/>
          <w:color w:val="auto"/>
          <w:kern w:val="0"/>
          <w:sz w:val="20"/>
          <w:szCs w:val="20"/>
        </w:rPr>
        <w:t>of</w:t>
      </w:r>
      <w:proofErr w:type="spellEnd"/>
      <w:r w:rsidRPr="00C73E8B">
        <w:rPr>
          <w:rFonts w:ascii="Times New Roman" w:hAnsi="Times New Roman" w:cs="Times New Roman"/>
          <w:b w:val="0"/>
          <w:bCs w:val="0"/>
          <w:color w:val="auto"/>
          <w:kern w:val="0"/>
          <w:sz w:val="20"/>
          <w:szCs w:val="20"/>
        </w:rPr>
        <w:t xml:space="preserve"> </w:t>
      </w:r>
      <w:proofErr w:type="spellStart"/>
      <w:r w:rsidRPr="00C73E8B">
        <w:rPr>
          <w:rFonts w:ascii="Times New Roman" w:hAnsi="Times New Roman" w:cs="Times New Roman"/>
          <w:b w:val="0"/>
          <w:bCs w:val="0"/>
          <w:color w:val="auto"/>
          <w:kern w:val="0"/>
          <w:sz w:val="20"/>
          <w:szCs w:val="20"/>
        </w:rPr>
        <w:t>energy</w:t>
      </w:r>
      <w:proofErr w:type="spellEnd"/>
      <w:r w:rsidRPr="00C73E8B">
        <w:rPr>
          <w:rFonts w:ascii="Times New Roman" w:hAnsi="Times New Roman" w:cs="Times New Roman"/>
          <w:b w:val="0"/>
          <w:bCs w:val="0"/>
          <w:color w:val="auto"/>
          <w:kern w:val="0"/>
          <w:sz w:val="20"/>
          <w:szCs w:val="20"/>
        </w:rPr>
        <w:t xml:space="preserve"> </w:t>
      </w:r>
      <w:proofErr w:type="spellStart"/>
      <w:r w:rsidRPr="00C73E8B">
        <w:rPr>
          <w:rFonts w:ascii="Times New Roman" w:hAnsi="Times New Roman" w:cs="Times New Roman"/>
          <w:b w:val="0"/>
          <w:bCs w:val="0"/>
          <w:color w:val="auto"/>
          <w:kern w:val="0"/>
          <w:sz w:val="20"/>
          <w:szCs w:val="20"/>
        </w:rPr>
        <w:t>costs</w:t>
      </w:r>
      <w:proofErr w:type="spellEnd"/>
      <w:r w:rsidRPr="00C73E8B">
        <w:rPr>
          <w:rFonts w:ascii="Times New Roman" w:hAnsi="Times New Roman" w:cs="Times New Roman"/>
          <w:b w:val="0"/>
          <w:bCs w:val="0"/>
          <w:color w:val="auto"/>
          <w:kern w:val="0"/>
          <w:sz w:val="20"/>
          <w:szCs w:val="20"/>
        </w:rPr>
        <w:t xml:space="preserve">, pieejams: </w:t>
      </w:r>
      <w:hyperlink r:id="rId2" w:history="1">
        <w:r w:rsidRPr="00C73E8B">
          <w:rPr>
            <w:rStyle w:val="Hyperlink"/>
            <w:rFonts w:ascii="Times New Roman" w:hAnsi="Times New Roman"/>
            <w:b w:val="0"/>
            <w:bCs w:val="0"/>
            <w:kern w:val="0"/>
            <w:sz w:val="20"/>
            <w:szCs w:val="20"/>
          </w:rPr>
          <w:t>https://www.rahandusministeerium.ee/et/energiakulude-huvitamine</w:t>
        </w:r>
      </w:hyperlink>
      <w:r w:rsidRPr="00C73E8B">
        <w:rPr>
          <w:rFonts w:ascii="Times New Roman" w:hAnsi="Times New Roman" w:cs="Times New Roman"/>
          <w:b w:val="0"/>
          <w:bCs w:val="0"/>
          <w:color w:val="auto"/>
          <w:kern w:val="0"/>
          <w:sz w:val="20"/>
          <w:szCs w:val="20"/>
        </w:rPr>
        <w:t xml:space="preserve"> </w:t>
      </w:r>
    </w:p>
  </w:footnote>
  <w:footnote w:id="3">
    <w:p w:rsidR="00265AD0" w:rsidRDefault="00265AD0" w:rsidP="00265AD0">
      <w:pPr>
        <w:pStyle w:val="FootnoteText"/>
        <w:jc w:val="both"/>
      </w:pPr>
      <w:r w:rsidRPr="00C73E8B">
        <w:rPr>
          <w:rStyle w:val="FootnoteReference"/>
          <w:rFonts w:cs="Calibri"/>
        </w:rPr>
        <w:footnoteRef/>
      </w:r>
      <w:r w:rsidRPr="00C73E8B">
        <w:t xml:space="preserve"> </w:t>
      </w:r>
      <w:r w:rsidRPr="00C73E8B">
        <w:rPr>
          <w:rFonts w:ascii="Times New Roman" w:hAnsi="Times New Roman"/>
        </w:rPr>
        <w:t>Minister of Public Administration, Regulation</w:t>
      </w:r>
      <w:r w:rsidRPr="00C73E8B">
        <w:t xml:space="preserve"> </w:t>
      </w:r>
      <w:r w:rsidRPr="00C73E8B">
        <w:rPr>
          <w:rFonts w:ascii="Times New Roman" w:hAnsi="Times New Roman"/>
        </w:rPr>
        <w:t>No.31</w:t>
      </w:r>
      <w:r w:rsidRPr="00C73E8B">
        <w:t xml:space="preserve"> “</w:t>
      </w:r>
      <w:r w:rsidRPr="00C73E8B">
        <w:rPr>
          <w:rFonts w:ascii="Times New Roman" w:hAnsi="Times New Roman"/>
        </w:rPr>
        <w:t xml:space="preserve">Measure to mitigate the increase in energy prices for disadvantaged families”, </w:t>
      </w:r>
      <w:proofErr w:type="spellStart"/>
      <w:r w:rsidRPr="00C73E8B">
        <w:rPr>
          <w:rFonts w:ascii="Times New Roman" w:hAnsi="Times New Roman"/>
        </w:rPr>
        <w:t>pieņemti</w:t>
      </w:r>
      <w:proofErr w:type="spellEnd"/>
      <w:r w:rsidRPr="00C73E8B">
        <w:rPr>
          <w:rFonts w:ascii="Times New Roman" w:hAnsi="Times New Roman"/>
        </w:rPr>
        <w:t xml:space="preserve"> 23.11.2021., </w:t>
      </w:r>
      <w:proofErr w:type="spellStart"/>
      <w:r w:rsidRPr="00C73E8B">
        <w:rPr>
          <w:rFonts w:ascii="Times New Roman" w:hAnsi="Times New Roman"/>
        </w:rPr>
        <w:t>pieejams</w:t>
      </w:r>
      <w:proofErr w:type="spellEnd"/>
      <w:r w:rsidRPr="00C73E8B">
        <w:rPr>
          <w:rFonts w:ascii="Times New Roman" w:hAnsi="Times New Roman"/>
        </w:rPr>
        <w:t xml:space="preserve">: </w:t>
      </w:r>
      <w:hyperlink r:id="rId3" w:history="1">
        <w:r w:rsidRPr="00C73E8B">
          <w:rPr>
            <w:rStyle w:val="Hyperlink"/>
            <w:rFonts w:ascii="Times New Roman" w:hAnsi="Times New Roman"/>
          </w:rPr>
          <w:t>https://www.riigiteataja.ee/akt/117052022021</w:t>
        </w:r>
      </w:hyperlink>
      <w:r>
        <w:rPr>
          <w:rFonts w:ascii="Times New Roman" w:hAnsi="Times New Roman"/>
          <w:sz w:val="24"/>
          <w:szCs w:val="24"/>
        </w:rPr>
        <w:t xml:space="preserve"> </w:t>
      </w:r>
    </w:p>
  </w:footnote>
  <w:footnote w:id="4">
    <w:p w:rsidR="00265AD0" w:rsidRPr="00C73E8B" w:rsidRDefault="00265AD0" w:rsidP="00265AD0">
      <w:pPr>
        <w:pStyle w:val="FootnoteText"/>
      </w:pPr>
      <w:r w:rsidRPr="00C73E8B">
        <w:rPr>
          <w:rStyle w:val="FootnoteReference"/>
          <w:rFonts w:ascii="Times New Roman" w:hAnsi="Times New Roman"/>
        </w:rPr>
        <w:footnoteRef/>
      </w:r>
      <w:r w:rsidRPr="00C73E8B">
        <w:rPr>
          <w:rFonts w:ascii="Times New Roman" w:hAnsi="Times New Roman"/>
        </w:rPr>
        <w:t xml:space="preserve"> </w:t>
      </w:r>
      <w:proofErr w:type="spellStart"/>
      <w:r w:rsidRPr="00C73E8B">
        <w:rPr>
          <w:rFonts w:ascii="Times New Roman" w:hAnsi="Times New Roman"/>
        </w:rPr>
        <w:t>Līdz</w:t>
      </w:r>
      <w:proofErr w:type="spellEnd"/>
      <w:r w:rsidRPr="00C73E8B">
        <w:rPr>
          <w:rFonts w:ascii="Times New Roman" w:hAnsi="Times New Roman"/>
        </w:rPr>
        <w:t xml:space="preserve"> 01.12.2021. </w:t>
      </w:r>
      <w:proofErr w:type="spellStart"/>
      <w:r w:rsidRPr="00C73E8B">
        <w:rPr>
          <w:rFonts w:ascii="Times New Roman" w:hAnsi="Times New Roman"/>
        </w:rPr>
        <w:t>atbalsta</w:t>
      </w:r>
      <w:proofErr w:type="spellEnd"/>
      <w:r w:rsidRPr="00C73E8B">
        <w:rPr>
          <w:rFonts w:ascii="Times New Roman" w:hAnsi="Times New Roman"/>
        </w:rPr>
        <w:t xml:space="preserve"> </w:t>
      </w:r>
      <w:proofErr w:type="spellStart"/>
      <w:r w:rsidRPr="00C73E8B">
        <w:rPr>
          <w:rFonts w:ascii="Times New Roman" w:hAnsi="Times New Roman"/>
        </w:rPr>
        <w:t>slieksnis</w:t>
      </w:r>
      <w:proofErr w:type="spellEnd"/>
      <w:r w:rsidRPr="00C73E8B">
        <w:rPr>
          <w:rFonts w:ascii="Times New Roman" w:hAnsi="Times New Roman"/>
        </w:rPr>
        <w:t xml:space="preserve"> </w:t>
      </w:r>
      <w:proofErr w:type="spellStart"/>
      <w:r w:rsidRPr="00C73E8B">
        <w:rPr>
          <w:rFonts w:ascii="Times New Roman" w:hAnsi="Times New Roman"/>
        </w:rPr>
        <w:t>bija</w:t>
      </w:r>
      <w:proofErr w:type="spellEnd"/>
      <w:r w:rsidRPr="00C73E8B">
        <w:rPr>
          <w:rFonts w:ascii="Times New Roman" w:hAnsi="Times New Roman"/>
        </w:rPr>
        <w:t xml:space="preserve"> </w:t>
      </w:r>
      <w:proofErr w:type="spellStart"/>
      <w:r w:rsidRPr="00C73E8B">
        <w:rPr>
          <w:rFonts w:ascii="Times New Roman" w:hAnsi="Times New Roman"/>
        </w:rPr>
        <w:t>noteikts</w:t>
      </w:r>
      <w:proofErr w:type="spellEnd"/>
      <w:r w:rsidRPr="00C73E8B">
        <w:rPr>
          <w:rFonts w:ascii="Times New Roman" w:hAnsi="Times New Roman"/>
        </w:rPr>
        <w:t xml:space="preserve"> </w:t>
      </w:r>
      <w:proofErr w:type="spellStart"/>
      <w:r w:rsidRPr="00C73E8B">
        <w:rPr>
          <w:rFonts w:ascii="Times New Roman" w:hAnsi="Times New Roman"/>
        </w:rPr>
        <w:t>relatīvās</w:t>
      </w:r>
      <w:proofErr w:type="spellEnd"/>
      <w:r w:rsidRPr="00C73E8B">
        <w:rPr>
          <w:rFonts w:ascii="Times New Roman" w:hAnsi="Times New Roman"/>
        </w:rPr>
        <w:t xml:space="preserve"> </w:t>
      </w:r>
      <w:proofErr w:type="spellStart"/>
      <w:r w:rsidRPr="00C73E8B">
        <w:rPr>
          <w:rFonts w:ascii="Times New Roman" w:hAnsi="Times New Roman"/>
        </w:rPr>
        <w:t>nabadzības</w:t>
      </w:r>
      <w:proofErr w:type="spellEnd"/>
      <w:r w:rsidRPr="00C73E8B">
        <w:rPr>
          <w:rFonts w:ascii="Times New Roman" w:hAnsi="Times New Roman"/>
        </w:rPr>
        <w:t xml:space="preserve"> </w:t>
      </w:r>
      <w:proofErr w:type="spellStart"/>
      <w:r w:rsidRPr="00C73E8B">
        <w:rPr>
          <w:rFonts w:ascii="Times New Roman" w:hAnsi="Times New Roman"/>
        </w:rPr>
        <w:t>līnijas</w:t>
      </w:r>
      <w:proofErr w:type="spellEnd"/>
      <w:r w:rsidRPr="00C73E8B">
        <w:rPr>
          <w:rFonts w:ascii="Times New Roman" w:hAnsi="Times New Roman"/>
        </w:rPr>
        <w:t xml:space="preserve"> </w:t>
      </w:r>
      <w:proofErr w:type="spellStart"/>
      <w:r w:rsidRPr="00C73E8B">
        <w:rPr>
          <w:rFonts w:ascii="Times New Roman" w:hAnsi="Times New Roman"/>
        </w:rPr>
        <w:t>apmērā</w:t>
      </w:r>
      <w:proofErr w:type="spellEnd"/>
      <w:r w:rsidRPr="00C73E8B">
        <w:rPr>
          <w:rFonts w:ascii="Times New Roman" w:hAnsi="Times New Roman"/>
        </w:rPr>
        <w:t xml:space="preserve"> - 673 euro</w:t>
      </w:r>
    </w:p>
  </w:footnote>
  <w:footnote w:id="5">
    <w:p w:rsidR="00265AD0" w:rsidRPr="00C73E8B" w:rsidRDefault="00265AD0" w:rsidP="00265AD0">
      <w:pPr>
        <w:spacing w:line="252" w:lineRule="auto"/>
        <w:contextualSpacing/>
        <w:jc w:val="both"/>
        <w:rPr>
          <w:rFonts w:ascii="Times New Roman" w:hAnsi="Times New Roman" w:cs="Times New Roman"/>
          <w:sz w:val="20"/>
          <w:szCs w:val="20"/>
          <w:lang w:val="en-US"/>
        </w:rPr>
      </w:pPr>
      <w:r w:rsidRPr="00C73E8B">
        <w:rPr>
          <w:rStyle w:val="FootnoteReference"/>
          <w:rFonts w:cs="Calibri"/>
          <w:sz w:val="20"/>
          <w:szCs w:val="20"/>
        </w:rPr>
        <w:footnoteRef/>
      </w:r>
      <w:r w:rsidRPr="00C73E8B">
        <w:rPr>
          <w:sz w:val="20"/>
          <w:szCs w:val="20"/>
        </w:rPr>
        <w:t xml:space="preserve"> </w:t>
      </w:r>
      <w:r w:rsidRPr="00C73E8B">
        <w:rPr>
          <w:rFonts w:ascii="Times New Roman" w:hAnsi="Times New Roman" w:cs="Times New Roman"/>
          <w:sz w:val="20"/>
          <w:szCs w:val="20"/>
        </w:rPr>
        <w:t xml:space="preserve">Saskaņā ar CSP datiem </w:t>
      </w:r>
      <w:r w:rsidRPr="00C73E8B">
        <w:rPr>
          <w:rFonts w:ascii="Times New Roman" w:hAnsi="Times New Roman" w:cs="Times New Roman"/>
          <w:bCs/>
          <w:color w:val="222222"/>
          <w:sz w:val="20"/>
          <w:szCs w:val="20"/>
          <w:shd w:val="clear" w:color="auto" w:fill="F8FBFC"/>
        </w:rPr>
        <w:t>ienākumu mediāna uz vienu ekvivalento patērētāju</w:t>
      </w:r>
      <w:r w:rsidRPr="00C73E8B">
        <w:rPr>
          <w:rFonts w:ascii="Times New Roman" w:hAnsi="Times New Roman" w:cs="Times New Roman"/>
          <w:b/>
          <w:bCs/>
          <w:color w:val="222222"/>
          <w:sz w:val="20"/>
          <w:szCs w:val="20"/>
          <w:shd w:val="clear" w:color="auto" w:fill="F8FBFC"/>
        </w:rPr>
        <w:t xml:space="preserve"> Latvijā </w:t>
      </w:r>
      <w:r w:rsidRPr="00C73E8B">
        <w:rPr>
          <w:rFonts w:ascii="Times New Roman" w:hAnsi="Times New Roman" w:cs="Times New Roman"/>
          <w:sz w:val="20"/>
          <w:szCs w:val="20"/>
        </w:rPr>
        <w:t xml:space="preserve">2020.gadā </w:t>
      </w:r>
      <w:r w:rsidRPr="00C73E8B">
        <w:rPr>
          <w:rFonts w:ascii="Times New Roman" w:hAnsi="Times New Roman" w:cs="Times New Roman"/>
          <w:bCs/>
          <w:color w:val="222222"/>
          <w:sz w:val="20"/>
          <w:szCs w:val="20"/>
          <w:shd w:val="clear" w:color="auto" w:fill="F8FBFC"/>
        </w:rPr>
        <w:t>bija</w:t>
      </w:r>
      <w:r w:rsidRPr="00C73E8B">
        <w:rPr>
          <w:rFonts w:ascii="Times New Roman" w:hAnsi="Times New Roman" w:cs="Times New Roman"/>
          <w:b/>
          <w:bCs/>
          <w:color w:val="222222"/>
          <w:sz w:val="20"/>
          <w:szCs w:val="20"/>
          <w:shd w:val="clear" w:color="auto" w:fill="F8FBFC"/>
        </w:rPr>
        <w:t xml:space="preserve"> 786,45 </w:t>
      </w:r>
      <w:proofErr w:type="spellStart"/>
      <w:r w:rsidRPr="00C73E8B">
        <w:rPr>
          <w:rFonts w:ascii="Times New Roman" w:hAnsi="Times New Roman" w:cs="Times New Roman"/>
          <w:b/>
          <w:bCs/>
          <w:color w:val="222222"/>
          <w:sz w:val="20"/>
          <w:szCs w:val="20"/>
          <w:shd w:val="clear" w:color="auto" w:fill="F8FBFC"/>
        </w:rPr>
        <w:t>euro</w:t>
      </w:r>
      <w:proofErr w:type="spellEnd"/>
      <w:r w:rsidRPr="00C73E8B">
        <w:rPr>
          <w:rFonts w:ascii="Times New Roman" w:hAnsi="Times New Roman" w:cs="Times New Roman"/>
          <w:b/>
          <w:bCs/>
          <w:color w:val="222222"/>
          <w:sz w:val="20"/>
          <w:szCs w:val="20"/>
          <w:shd w:val="clear" w:color="auto" w:fill="F8FBFC"/>
        </w:rPr>
        <w:t xml:space="preserve">. </w:t>
      </w:r>
      <w:hyperlink r:id="rId4" w:history="1">
        <w:r w:rsidRPr="00C73E8B">
          <w:rPr>
            <w:rStyle w:val="Hyperlink"/>
            <w:rFonts w:ascii="Times New Roman" w:hAnsi="Times New Roman"/>
            <w:color w:val="000000"/>
            <w:sz w:val="20"/>
            <w:szCs w:val="20"/>
            <w:bdr w:val="none" w:sz="0" w:space="0" w:color="auto" w:frame="1"/>
          </w:rPr>
          <w:t>MIS010. Mājsaimniecību rīcībā esošie ienākumi (eiro mēnesī) 2004 - 2020</w:t>
        </w:r>
      </w:hyperlink>
    </w:p>
    <w:p w:rsidR="00265AD0" w:rsidRDefault="00265AD0" w:rsidP="00265AD0">
      <w:pPr>
        <w:spacing w:line="252" w:lineRule="auto"/>
        <w:contextualSpacing/>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33522"/>
    <w:multiLevelType w:val="hybridMultilevel"/>
    <w:tmpl w:val="1EB42E6A"/>
    <w:lvl w:ilvl="0" w:tplc="3B185302">
      <w:start w:val="1"/>
      <w:numFmt w:val="bullet"/>
      <w:lvlText w:val="‒"/>
      <w:lvlJc w:val="left"/>
      <w:pPr>
        <w:ind w:left="720" w:hanging="360"/>
      </w:pPr>
      <w:rPr>
        <w:rFonts w:ascii="Times New Roman" w:hAnsi="Times New Roman" w:cs="Times New Roman" w:hint="default"/>
      </w:rPr>
    </w:lvl>
    <w:lvl w:ilvl="1" w:tplc="3B185302">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C4E48F2"/>
    <w:multiLevelType w:val="hybridMultilevel"/>
    <w:tmpl w:val="E59C1C34"/>
    <w:lvl w:ilvl="0" w:tplc="FD60D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73223B1E"/>
    <w:multiLevelType w:val="hybridMultilevel"/>
    <w:tmpl w:val="844E38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D18443B"/>
    <w:multiLevelType w:val="hybridMultilevel"/>
    <w:tmpl w:val="765E97BA"/>
    <w:lvl w:ilvl="0" w:tplc="3B185302">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EA"/>
    <w:rsid w:val="001B1064"/>
    <w:rsid w:val="00265AD0"/>
    <w:rsid w:val="00466A0F"/>
    <w:rsid w:val="0056115E"/>
    <w:rsid w:val="005C32EA"/>
    <w:rsid w:val="005D03AC"/>
    <w:rsid w:val="006D1104"/>
    <w:rsid w:val="009437D5"/>
    <w:rsid w:val="00C03E62"/>
    <w:rsid w:val="00C230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C03E62"/>
    <w:pPr>
      <w:keepNext/>
      <w:shd w:val="clear" w:color="auto" w:fill="FFFFFF"/>
      <w:suppressAutoHyphens/>
      <w:autoSpaceDN w:val="0"/>
      <w:spacing w:after="0" w:line="240" w:lineRule="auto"/>
      <w:textAlignment w:val="baseline"/>
      <w:outlineLvl w:val="0"/>
    </w:pPr>
    <w:rPr>
      <w:rFonts w:ascii="Times New Roman Bold" w:eastAsia="Times New Roman" w:hAnsi="Times New Roman Bold" w:cs="Calibri"/>
      <w:b/>
      <w:bCs/>
      <w:color w:val="2E74B5" w:themeColor="accent1" w:themeShade="BF"/>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32EA"/>
    <w:pPr>
      <w:ind w:left="720"/>
      <w:contextualSpacing/>
    </w:pPr>
  </w:style>
  <w:style w:type="character" w:customStyle="1" w:styleId="Heading1Char">
    <w:name w:val="Heading 1 Char"/>
    <w:basedOn w:val="DefaultParagraphFont"/>
    <w:link w:val="Heading1"/>
    <w:uiPriority w:val="9"/>
    <w:rsid w:val="00C03E62"/>
    <w:rPr>
      <w:rFonts w:ascii="Times New Roman Bold" w:eastAsia="Times New Roman" w:hAnsi="Times New Roman Bold" w:cs="Calibri"/>
      <w:b/>
      <w:bCs/>
      <w:color w:val="2E74B5" w:themeColor="accent1" w:themeShade="BF"/>
      <w:kern w:val="32"/>
      <w:sz w:val="32"/>
      <w:szCs w:val="32"/>
      <w:shd w:val="clear" w:color="auto" w:fill="FFFFFF"/>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C,f, Char"/>
    <w:basedOn w:val="Normal"/>
    <w:link w:val="FootnoteTextChar"/>
    <w:uiPriority w:val="99"/>
    <w:unhideWhenUsed/>
    <w:qFormat/>
    <w:rsid w:val="00C03E62"/>
    <w:pPr>
      <w:widowControl w:val="0"/>
      <w:spacing w:after="0" w:line="240" w:lineRule="auto"/>
    </w:pPr>
    <w:rPr>
      <w:rFonts w:ascii="Calibri" w:eastAsia="Times New Roman" w:hAnsi="Calibri" w:cs="Times New Roman"/>
      <w:sz w:val="20"/>
      <w:szCs w:val="20"/>
      <w:lang w:val="en-US"/>
    </w:rPr>
  </w:style>
  <w:style w:type="character" w:customStyle="1" w:styleId="FootnoteTextChar">
    <w:name w:val="Footnote Text Char"/>
    <w:aliases w:val="Footnote Char,Fußnote Char,Char Char,Char Rakstz. Rakstz. Rakstz. Rakstz. Rakstz. Rakstz. Rakstz. Char,Char Rakstz. Rakstz. Rakstz. Rakstz. Rakstz. Rakstz. Char,C Char,f Char, Char Char"/>
    <w:basedOn w:val="DefaultParagraphFont"/>
    <w:link w:val="FootnoteText"/>
    <w:uiPriority w:val="99"/>
    <w:rsid w:val="00C03E62"/>
    <w:rPr>
      <w:rFonts w:ascii="Calibri" w:eastAsia="Times New Roman" w:hAnsi="Calibri" w:cs="Times New Roman"/>
      <w:sz w:val="20"/>
      <w:szCs w:val="20"/>
      <w:lang w:val="en-US"/>
    </w:rPr>
  </w:style>
  <w:style w:type="character" w:styleId="FootnoteReference">
    <w:name w:val="footnote reference"/>
    <w:aliases w:val="Footnote Reference Number,Footnote symbol,SUPERS,ftref,Footnote Refernece,Footnote Reference Superscript,stylish,BVI fnr,Fußnotenzeichen_Raxen,callout,Footnote symbFootnote Refernece,fr,Odwołanie przypisu,Footnotes refss,Ref,E,E FNZ"/>
    <w:basedOn w:val="DefaultParagraphFont"/>
    <w:link w:val="CharCharCharChar"/>
    <w:uiPriority w:val="99"/>
    <w:unhideWhenUsed/>
    <w:qFormat/>
    <w:rsid w:val="00C03E62"/>
    <w:rPr>
      <w:rFonts w:cs="Times New Roman"/>
      <w:vertAlign w:val="superscript"/>
    </w:rPr>
  </w:style>
  <w:style w:type="paragraph" w:customStyle="1" w:styleId="CharCharCharChar">
    <w:name w:val="Char Char Char Char"/>
    <w:aliases w:val="Char2"/>
    <w:basedOn w:val="Normal"/>
    <w:next w:val="Normal"/>
    <w:link w:val="FootnoteReference"/>
    <w:uiPriority w:val="99"/>
    <w:rsid w:val="00C03E62"/>
    <w:pPr>
      <w:spacing w:line="240" w:lineRule="exact"/>
      <w:jc w:val="both"/>
    </w:pPr>
    <w:rPr>
      <w:rFonts w:cs="Times New Roman"/>
      <w:vertAlign w:val="superscript"/>
    </w:rPr>
  </w:style>
  <w:style w:type="character" w:styleId="Hyperlink">
    <w:name w:val="Hyperlink"/>
    <w:basedOn w:val="DefaultParagraphFont"/>
    <w:uiPriority w:val="99"/>
    <w:unhideWhenUsed/>
    <w:rsid w:val="00C03E62"/>
    <w:rPr>
      <w:rFonts w:cs="Times New Roman"/>
      <w:color w:val="0563C1"/>
      <w:u w:val="single"/>
    </w:rPr>
  </w:style>
  <w:style w:type="character" w:customStyle="1" w:styleId="ListParagraphChar">
    <w:name w:val="List Paragraph Char"/>
    <w:link w:val="ListParagraph"/>
    <w:uiPriority w:val="34"/>
    <w:rsid w:val="00C03E62"/>
  </w:style>
  <w:style w:type="paragraph" w:styleId="Header">
    <w:name w:val="header"/>
    <w:basedOn w:val="Normal"/>
    <w:link w:val="HeaderChar"/>
    <w:uiPriority w:val="99"/>
    <w:unhideWhenUsed/>
    <w:rsid w:val="00C03E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3E62"/>
  </w:style>
  <w:style w:type="paragraph" w:styleId="Footer">
    <w:name w:val="footer"/>
    <w:basedOn w:val="Normal"/>
    <w:link w:val="FooterChar"/>
    <w:uiPriority w:val="99"/>
    <w:unhideWhenUsed/>
    <w:rsid w:val="00C03E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3E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C03E62"/>
    <w:pPr>
      <w:keepNext/>
      <w:shd w:val="clear" w:color="auto" w:fill="FFFFFF"/>
      <w:suppressAutoHyphens/>
      <w:autoSpaceDN w:val="0"/>
      <w:spacing w:after="0" w:line="240" w:lineRule="auto"/>
      <w:textAlignment w:val="baseline"/>
      <w:outlineLvl w:val="0"/>
    </w:pPr>
    <w:rPr>
      <w:rFonts w:ascii="Times New Roman Bold" w:eastAsia="Times New Roman" w:hAnsi="Times New Roman Bold" w:cs="Calibri"/>
      <w:b/>
      <w:bCs/>
      <w:color w:val="2E74B5" w:themeColor="accent1" w:themeShade="BF"/>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32EA"/>
    <w:pPr>
      <w:ind w:left="720"/>
      <w:contextualSpacing/>
    </w:pPr>
  </w:style>
  <w:style w:type="character" w:customStyle="1" w:styleId="Heading1Char">
    <w:name w:val="Heading 1 Char"/>
    <w:basedOn w:val="DefaultParagraphFont"/>
    <w:link w:val="Heading1"/>
    <w:uiPriority w:val="9"/>
    <w:rsid w:val="00C03E62"/>
    <w:rPr>
      <w:rFonts w:ascii="Times New Roman Bold" w:eastAsia="Times New Roman" w:hAnsi="Times New Roman Bold" w:cs="Calibri"/>
      <w:b/>
      <w:bCs/>
      <w:color w:val="2E74B5" w:themeColor="accent1" w:themeShade="BF"/>
      <w:kern w:val="32"/>
      <w:sz w:val="32"/>
      <w:szCs w:val="32"/>
      <w:shd w:val="clear" w:color="auto" w:fill="FFFFFF"/>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C,f, Char"/>
    <w:basedOn w:val="Normal"/>
    <w:link w:val="FootnoteTextChar"/>
    <w:uiPriority w:val="99"/>
    <w:unhideWhenUsed/>
    <w:qFormat/>
    <w:rsid w:val="00C03E62"/>
    <w:pPr>
      <w:widowControl w:val="0"/>
      <w:spacing w:after="0" w:line="240" w:lineRule="auto"/>
    </w:pPr>
    <w:rPr>
      <w:rFonts w:ascii="Calibri" w:eastAsia="Times New Roman" w:hAnsi="Calibri" w:cs="Times New Roman"/>
      <w:sz w:val="20"/>
      <w:szCs w:val="20"/>
      <w:lang w:val="en-US"/>
    </w:rPr>
  </w:style>
  <w:style w:type="character" w:customStyle="1" w:styleId="FootnoteTextChar">
    <w:name w:val="Footnote Text Char"/>
    <w:aliases w:val="Footnote Char,Fußnote Char,Char Char,Char Rakstz. Rakstz. Rakstz. Rakstz. Rakstz. Rakstz. Rakstz. Char,Char Rakstz. Rakstz. Rakstz. Rakstz. Rakstz. Rakstz. Char,C Char,f Char, Char Char"/>
    <w:basedOn w:val="DefaultParagraphFont"/>
    <w:link w:val="FootnoteText"/>
    <w:uiPriority w:val="99"/>
    <w:rsid w:val="00C03E62"/>
    <w:rPr>
      <w:rFonts w:ascii="Calibri" w:eastAsia="Times New Roman" w:hAnsi="Calibri" w:cs="Times New Roman"/>
      <w:sz w:val="20"/>
      <w:szCs w:val="20"/>
      <w:lang w:val="en-US"/>
    </w:rPr>
  </w:style>
  <w:style w:type="character" w:styleId="FootnoteReference">
    <w:name w:val="footnote reference"/>
    <w:aliases w:val="Footnote Reference Number,Footnote symbol,SUPERS,ftref,Footnote Refernece,Footnote Reference Superscript,stylish,BVI fnr,Fußnotenzeichen_Raxen,callout,Footnote symbFootnote Refernece,fr,Odwołanie przypisu,Footnotes refss,Ref,E,E FNZ"/>
    <w:basedOn w:val="DefaultParagraphFont"/>
    <w:link w:val="CharCharCharChar"/>
    <w:uiPriority w:val="99"/>
    <w:unhideWhenUsed/>
    <w:qFormat/>
    <w:rsid w:val="00C03E62"/>
    <w:rPr>
      <w:rFonts w:cs="Times New Roman"/>
      <w:vertAlign w:val="superscript"/>
    </w:rPr>
  </w:style>
  <w:style w:type="paragraph" w:customStyle="1" w:styleId="CharCharCharChar">
    <w:name w:val="Char Char Char Char"/>
    <w:aliases w:val="Char2"/>
    <w:basedOn w:val="Normal"/>
    <w:next w:val="Normal"/>
    <w:link w:val="FootnoteReference"/>
    <w:uiPriority w:val="99"/>
    <w:rsid w:val="00C03E62"/>
    <w:pPr>
      <w:spacing w:line="240" w:lineRule="exact"/>
      <w:jc w:val="both"/>
    </w:pPr>
    <w:rPr>
      <w:rFonts w:cs="Times New Roman"/>
      <w:vertAlign w:val="superscript"/>
    </w:rPr>
  </w:style>
  <w:style w:type="character" w:styleId="Hyperlink">
    <w:name w:val="Hyperlink"/>
    <w:basedOn w:val="DefaultParagraphFont"/>
    <w:uiPriority w:val="99"/>
    <w:unhideWhenUsed/>
    <w:rsid w:val="00C03E62"/>
    <w:rPr>
      <w:rFonts w:cs="Times New Roman"/>
      <w:color w:val="0563C1"/>
      <w:u w:val="single"/>
    </w:rPr>
  </w:style>
  <w:style w:type="character" w:customStyle="1" w:styleId="ListParagraphChar">
    <w:name w:val="List Paragraph Char"/>
    <w:link w:val="ListParagraph"/>
    <w:uiPriority w:val="34"/>
    <w:rsid w:val="00C03E62"/>
  </w:style>
  <w:style w:type="paragraph" w:styleId="Header">
    <w:name w:val="header"/>
    <w:basedOn w:val="Normal"/>
    <w:link w:val="HeaderChar"/>
    <w:uiPriority w:val="99"/>
    <w:unhideWhenUsed/>
    <w:rsid w:val="00C03E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3E62"/>
  </w:style>
  <w:style w:type="paragraph" w:styleId="Footer">
    <w:name w:val="footer"/>
    <w:basedOn w:val="Normal"/>
    <w:link w:val="FooterChar"/>
    <w:uiPriority w:val="99"/>
    <w:unhideWhenUsed/>
    <w:rsid w:val="00C03E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3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vutus.e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riigiteataja.ee/akt/117052022021" TargetMode="External"/><Relationship Id="rId2" Type="http://schemas.openxmlformats.org/officeDocument/2006/relationships/hyperlink" Target="https://www.rahandusministeerium.ee/et/energiakulude-huvitamine" TargetMode="External"/><Relationship Id="rId1" Type="http://schemas.openxmlformats.org/officeDocument/2006/relationships/hyperlink" Target="https://www.rahandusministeerium.ee/et/energiakulude-huvitamine" TargetMode="External"/><Relationship Id="rId4" Type="http://schemas.openxmlformats.org/officeDocument/2006/relationships/hyperlink" Target="https://data.stat.gov.lv/pxweb/lv/OSP_PUB/START__POP__MI__MIS/MIS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10606</Words>
  <Characters>6046</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Māra Keiša</cp:lastModifiedBy>
  <cp:revision>2</cp:revision>
  <dcterms:created xsi:type="dcterms:W3CDTF">2022-06-29T07:07:00Z</dcterms:created>
  <dcterms:modified xsi:type="dcterms:W3CDTF">2022-06-29T07:07:00Z</dcterms:modified>
</cp:coreProperties>
</file>