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8CA0C5D" w14:textId="77777777" w:rsidR="006015ED" w:rsidRDefault="004B6F0F">
      <w:pPr>
        <w:spacing w:before="240" w:after="240"/>
        <w:rPr>
          <w:b/>
          <w:sz w:val="28"/>
        </w:rPr>
      </w:pPr>
      <w:bookmarkStart w:id="0" w:name="_GoBack"/>
      <w:bookmarkEnd w:id="0"/>
      <w:r>
        <w:rPr>
          <w:b/>
          <w:sz w:val="28"/>
        </w:rPr>
        <w:t>22-TA-1138: Likumprojekts (Jauns)</w:t>
      </w:r>
    </w:p>
    <w:p w14:paraId="4A48FF1C" w14:textId="77777777" w:rsidR="006015ED" w:rsidRDefault="004B6F0F">
      <w:pPr>
        <w:pStyle w:val="titleparagraph"/>
        <w:contextualSpacing w:val="0"/>
      </w:pPr>
      <w:r>
        <w:t>Likums par atviegloto kārtību vēja elektrostaciju būvniecībai enerģētiskās drošības un neatkarības veicināšanai</w:t>
      </w:r>
    </w:p>
    <w:tbl>
      <w:tblPr>
        <w:tblStyle w:val="a"/>
        <w:tblW w:w="14567"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1015"/>
        <w:gridCol w:w="3388"/>
        <w:gridCol w:w="3610"/>
        <w:gridCol w:w="3166"/>
        <w:gridCol w:w="3388"/>
      </w:tblGrid>
      <w:tr w:rsidR="006015ED" w14:paraId="39929F93" w14:textId="77777777" w:rsidTr="002E04BD">
        <w:tc>
          <w:tcPr>
            <w:tcW w:w="1015" w:type="dxa"/>
            <w:shd w:val="clear" w:color="auto" w:fill="FFFFFF"/>
            <w:noWrap/>
            <w:tcMar>
              <w:top w:w="75" w:type="dxa"/>
              <w:left w:w="75" w:type="dxa"/>
              <w:bottom w:w="75" w:type="dxa"/>
              <w:right w:w="75" w:type="dxa"/>
            </w:tcMar>
            <w:vAlign w:val="center"/>
          </w:tcPr>
          <w:p w14:paraId="6D6FBF45" w14:textId="77777777" w:rsidR="006015ED" w:rsidRDefault="004B6F0F">
            <w:pPr>
              <w:jc w:val="center"/>
              <w:rPr>
                <w:b/>
              </w:rPr>
            </w:pPr>
            <w:r>
              <w:rPr>
                <w:b/>
              </w:rPr>
              <w:t>Nr.p.k.</w:t>
            </w:r>
          </w:p>
        </w:tc>
        <w:tc>
          <w:tcPr>
            <w:tcW w:w="3388" w:type="dxa"/>
            <w:shd w:val="clear" w:color="auto" w:fill="FFFFFF"/>
            <w:noWrap/>
            <w:tcMar>
              <w:top w:w="75" w:type="dxa"/>
              <w:left w:w="75" w:type="dxa"/>
              <w:bottom w:w="75" w:type="dxa"/>
              <w:right w:w="75" w:type="dxa"/>
            </w:tcMar>
            <w:vAlign w:val="center"/>
          </w:tcPr>
          <w:p w14:paraId="73099BB2" w14:textId="77777777" w:rsidR="006015ED" w:rsidRDefault="004B6F0F">
            <w:pPr>
              <w:jc w:val="center"/>
              <w:rPr>
                <w:b/>
              </w:rPr>
            </w:pPr>
            <w:r>
              <w:rPr>
                <w:b/>
              </w:rPr>
              <w:t>Saskaņošanai nosūtītā projekta redakcija</w:t>
            </w:r>
          </w:p>
        </w:tc>
        <w:tc>
          <w:tcPr>
            <w:tcW w:w="3610" w:type="dxa"/>
            <w:shd w:val="clear" w:color="auto" w:fill="FFFFFF"/>
            <w:noWrap/>
            <w:tcMar>
              <w:top w:w="75" w:type="dxa"/>
              <w:left w:w="75" w:type="dxa"/>
              <w:bottom w:w="75" w:type="dxa"/>
              <w:right w:w="75" w:type="dxa"/>
            </w:tcMar>
            <w:vAlign w:val="center"/>
          </w:tcPr>
          <w:p w14:paraId="52A6EF94" w14:textId="77777777" w:rsidR="006015ED" w:rsidRDefault="004B6F0F">
            <w:pPr>
              <w:jc w:val="center"/>
              <w:rPr>
                <w:b/>
              </w:rPr>
            </w:pPr>
            <w:r>
              <w:rPr>
                <w:b/>
              </w:rPr>
              <w:t>Iebildums / Priekšlikums</w:t>
            </w:r>
          </w:p>
        </w:tc>
        <w:tc>
          <w:tcPr>
            <w:tcW w:w="3166" w:type="dxa"/>
            <w:shd w:val="clear" w:color="auto" w:fill="FFFFFF"/>
            <w:noWrap/>
            <w:tcMar>
              <w:top w:w="75" w:type="dxa"/>
              <w:left w:w="75" w:type="dxa"/>
              <w:bottom w:w="75" w:type="dxa"/>
              <w:right w:w="75" w:type="dxa"/>
            </w:tcMar>
            <w:vAlign w:val="center"/>
          </w:tcPr>
          <w:p w14:paraId="6941DA9A" w14:textId="77777777" w:rsidR="006015ED" w:rsidRDefault="004B6F0F">
            <w:pPr>
              <w:jc w:val="center"/>
              <w:rPr>
                <w:b/>
              </w:rPr>
            </w:pPr>
            <w:r>
              <w:rPr>
                <w:b/>
              </w:rPr>
              <w:t>Apstrādes informācija</w:t>
            </w:r>
          </w:p>
        </w:tc>
        <w:tc>
          <w:tcPr>
            <w:tcW w:w="3388" w:type="dxa"/>
            <w:shd w:val="clear" w:color="auto" w:fill="FFFFFF"/>
            <w:noWrap/>
            <w:tcMar>
              <w:top w:w="75" w:type="dxa"/>
              <w:left w:w="75" w:type="dxa"/>
              <w:bottom w:w="75" w:type="dxa"/>
              <w:right w:w="75" w:type="dxa"/>
            </w:tcMar>
            <w:vAlign w:val="center"/>
          </w:tcPr>
          <w:p w14:paraId="1E6C3DFC" w14:textId="77777777" w:rsidR="006015ED" w:rsidRDefault="004B6F0F">
            <w:pPr>
              <w:jc w:val="center"/>
              <w:rPr>
                <w:b/>
              </w:rPr>
            </w:pPr>
            <w:r>
              <w:rPr>
                <w:b/>
              </w:rPr>
              <w:t>Galīgā redakcija</w:t>
            </w:r>
          </w:p>
        </w:tc>
      </w:tr>
      <w:tr w:rsidR="006015ED" w14:paraId="55A699FF" w14:textId="77777777" w:rsidTr="002E04BD">
        <w:tc>
          <w:tcPr>
            <w:tcW w:w="1015" w:type="dxa"/>
            <w:shd w:val="clear" w:color="auto" w:fill="FFFFFF"/>
            <w:noWrap/>
            <w:tcMar>
              <w:top w:w="75" w:type="dxa"/>
              <w:left w:w="75" w:type="dxa"/>
              <w:bottom w:w="75" w:type="dxa"/>
              <w:right w:w="75" w:type="dxa"/>
            </w:tcMar>
          </w:tcPr>
          <w:p w14:paraId="22B81FB8" w14:textId="77777777" w:rsidR="006015ED" w:rsidRDefault="004B6F0F">
            <w:r>
              <w:t>14.</w:t>
            </w:r>
          </w:p>
        </w:tc>
        <w:tc>
          <w:tcPr>
            <w:tcW w:w="3388" w:type="dxa"/>
            <w:shd w:val="clear" w:color="auto" w:fill="FFFFFF"/>
            <w:noWrap/>
            <w:tcMar>
              <w:top w:w="75" w:type="dxa"/>
              <w:left w:w="75" w:type="dxa"/>
              <w:bottom w:w="75" w:type="dxa"/>
              <w:right w:w="75" w:type="dxa"/>
            </w:tcMar>
          </w:tcPr>
          <w:p w14:paraId="0CA59BE8" w14:textId="77777777" w:rsidR="006015ED" w:rsidRDefault="004B6F0F">
            <w:pPr>
              <w:spacing w:after="240"/>
              <w:rPr>
                <w:b/>
              </w:rPr>
            </w:pPr>
            <w:r>
              <w:rPr>
                <w:b/>
              </w:rPr>
              <w:t>Likumprojekts</w:t>
            </w:r>
          </w:p>
          <w:p w14:paraId="485AC063" w14:textId="77777777" w:rsidR="006015ED" w:rsidRDefault="004B6F0F">
            <w:r>
              <w:t>8. Nacionālo interešu objektu noteikšana</w:t>
            </w:r>
          </w:p>
        </w:tc>
        <w:tc>
          <w:tcPr>
            <w:tcW w:w="3610" w:type="dxa"/>
            <w:shd w:val="clear" w:color="auto" w:fill="FFFFFF"/>
            <w:noWrap/>
            <w:tcMar>
              <w:top w:w="75" w:type="dxa"/>
              <w:left w:w="75" w:type="dxa"/>
              <w:bottom w:w="75" w:type="dxa"/>
              <w:right w:w="75" w:type="dxa"/>
            </w:tcMar>
          </w:tcPr>
          <w:p w14:paraId="5C937D24" w14:textId="77777777" w:rsidR="006015ED" w:rsidRDefault="004B6F0F">
            <w:pPr>
              <w:spacing w:after="240"/>
              <w:rPr>
                <w:b/>
              </w:rPr>
            </w:pPr>
            <w:r>
              <w:rPr>
                <w:b/>
              </w:rPr>
              <w:t>Iebildums (EM - 03.05.2022.)</w:t>
            </w:r>
          </w:p>
          <w:p w14:paraId="2134AC7D" w14:textId="77777777" w:rsidR="006015ED" w:rsidRDefault="004B6F0F">
            <w:r>
              <w:t>Saskaņā ar Enerģētikas likuma 19. 1.</w:t>
            </w:r>
            <w:r>
              <w:rPr>
                <w:vertAlign w:val="superscript"/>
              </w:rPr>
              <w:t>1</w:t>
            </w:r>
            <w:r>
              <w:t> daļas 3.</w:t>
            </w:r>
            <w:r>
              <w:rPr>
                <w:vertAlign w:val="superscript"/>
              </w:rPr>
              <w:t>2</w:t>
            </w:r>
            <w:r>
              <w:t> punktu- Energoapgādes komersantam ir pienākums saskaņot ar zemes īpašnieku jaunu energoapgādes objektu ierīkošanas nosacījumus, kā arī tiesības saskaņošanas procedūru aizstāt ar zemes īpašnieka informēšanu gadījumos, ja zeme tiek izmantota jaunu energoapgādes komersanta objektu — iekārtu, ierīču, ietaišu, tīklu, līniju un to piederumu ierīkošanai, ja ir iestājies vismaz viens no šādiem nosacījumiem:</w:t>
            </w:r>
          </w:p>
          <w:p w14:paraId="7CCA0C27" w14:textId="77777777" w:rsidR="006015ED" w:rsidRDefault="004B6F0F">
            <w:r>
              <w:t>3</w:t>
            </w:r>
            <w:r>
              <w:rPr>
                <w:vertAlign w:val="superscript"/>
              </w:rPr>
              <w:t>2</w:t>
            </w:r>
            <w:r>
              <w:t xml:space="preserve">) ierīkojamam energoapgādes komersanta objektam ir noteikts nacionālo interešu objekta statuss un ir veikts ietekmes uz vidi novērtējums.Savukārt energoapgādes komersants- licencēts vai reģistrēts komersants, kas nodarbojas ar energoapgādi (enerģētikas jomā veicama </w:t>
            </w:r>
            <w:r>
              <w:lastRenderedPageBreak/>
              <w:t>komercdarbība, kuru ir nepieciešams licencēt vai reģistrēt un kura ietver elektroenerģijas vai siltumenerģijas ražošanu, elektroenerģijas, siltumenerģijas vai dabasgāzes (tostarp sašķidrinātās dabasgāzes un biometāna) iepirkšanu, pārveidi, uzglabāšanu, pārvadi, sadali vai tirdzniecību). Proti, energoapgādes komersantiem- elektroenerģijas ražotājiem nav jāsaskaņo jauna objekta ierīkošana ar zemes īpašnieku, vēja elektrostacijas gadījumā šāda situācija nav iespējama, jo jānostiprina lietu tiesības uz zemi, uz kuras tiks būvēta stacija, savukārt saskaņošana nav jāveic attiecībā uz vēja stacijas aizsargjoslām. Lūdzam skaidrot likumā vai anotācijā, vai ar NIO statusa piešķiršanas procedūru kā paātrinošais faktors paredzēts arī šis, kuru nosaka Enerģētikas likums.</w:t>
            </w:r>
          </w:p>
          <w:p w14:paraId="6E411EB7" w14:textId="77777777" w:rsidR="006015ED" w:rsidRDefault="004B6F0F">
            <w:pPr>
              <w:spacing w:before="240" w:after="240"/>
              <w:rPr>
                <w:i/>
              </w:rPr>
            </w:pPr>
            <w:r>
              <w:rPr>
                <w:i/>
              </w:rPr>
              <w:t>Piedāvātā redakcija</w:t>
            </w:r>
          </w:p>
          <w:p w14:paraId="534437B5" w14:textId="77777777" w:rsidR="006015ED" w:rsidRDefault="004B6F0F">
            <w:r>
              <w:t>-</w:t>
            </w:r>
          </w:p>
        </w:tc>
        <w:tc>
          <w:tcPr>
            <w:tcW w:w="3166" w:type="dxa"/>
            <w:shd w:val="clear" w:color="auto" w:fill="FFFFFF"/>
            <w:noWrap/>
            <w:tcMar>
              <w:top w:w="75" w:type="dxa"/>
              <w:left w:w="75" w:type="dxa"/>
              <w:bottom w:w="75" w:type="dxa"/>
              <w:right w:w="75" w:type="dxa"/>
            </w:tcMar>
          </w:tcPr>
          <w:p w14:paraId="7B1A03E0" w14:textId="77777777" w:rsidR="006015ED" w:rsidRDefault="004B6F0F">
            <w:pPr>
              <w:spacing w:after="240"/>
              <w:rPr>
                <w:b/>
              </w:rPr>
            </w:pPr>
            <w:r>
              <w:rPr>
                <w:b/>
              </w:rPr>
              <w:lastRenderedPageBreak/>
              <w:t>Ņemts vērā</w:t>
            </w:r>
          </w:p>
          <w:p w14:paraId="3013A282" w14:textId="77777777" w:rsidR="006015ED" w:rsidRDefault="004B6F0F">
            <w:r>
              <w:t>Papildināta anotācija</w:t>
            </w:r>
          </w:p>
          <w:p w14:paraId="7C4E320F" w14:textId="77777777" w:rsidR="006015ED" w:rsidRDefault="004B6F0F">
            <w:r>
              <w:t>Ja paredzētajai darbībai būs veikts sākotnējais izvērtējums un izsniegti Valsts vides dienesta tehniskie noteikumi, tad Enerģētikas likums neattieksies, uz šajā likumā paredzētajām darbībām. Tādējādi netiek paredzēts izņēmums no vispārējās kārtības un būs nepieciešams saskaņojums no zemes vienības īpašnieka par paredzēto darbību.</w:t>
            </w:r>
          </w:p>
        </w:tc>
        <w:tc>
          <w:tcPr>
            <w:tcW w:w="3388" w:type="dxa"/>
            <w:shd w:val="clear" w:color="auto" w:fill="FFFFFF"/>
            <w:noWrap/>
            <w:tcMar>
              <w:top w:w="75" w:type="dxa"/>
              <w:left w:w="75" w:type="dxa"/>
              <w:bottom w:w="75" w:type="dxa"/>
              <w:right w:w="75" w:type="dxa"/>
            </w:tcMar>
          </w:tcPr>
          <w:p w14:paraId="5EE36BAC" w14:textId="77777777" w:rsidR="006015ED" w:rsidRDefault="004B6F0F">
            <w:r>
              <w:t>8. Nacionālo interešu objektu noteikšana</w:t>
            </w:r>
          </w:p>
        </w:tc>
      </w:tr>
      <w:tr w:rsidR="006015ED" w14:paraId="3B575C6A" w14:textId="77777777" w:rsidTr="002E04BD">
        <w:tc>
          <w:tcPr>
            <w:tcW w:w="1015" w:type="dxa"/>
            <w:shd w:val="clear" w:color="auto" w:fill="FFFFFF"/>
            <w:noWrap/>
            <w:tcMar>
              <w:top w:w="75" w:type="dxa"/>
              <w:left w:w="75" w:type="dxa"/>
              <w:bottom w:w="75" w:type="dxa"/>
              <w:right w:w="75" w:type="dxa"/>
            </w:tcMar>
          </w:tcPr>
          <w:p w14:paraId="626DFB50" w14:textId="77777777" w:rsidR="006015ED" w:rsidRDefault="004B6F0F">
            <w:r>
              <w:lastRenderedPageBreak/>
              <w:t>20.</w:t>
            </w:r>
          </w:p>
        </w:tc>
        <w:tc>
          <w:tcPr>
            <w:tcW w:w="3388" w:type="dxa"/>
            <w:shd w:val="clear" w:color="auto" w:fill="FFFFFF"/>
            <w:noWrap/>
            <w:tcMar>
              <w:top w:w="75" w:type="dxa"/>
              <w:left w:w="75" w:type="dxa"/>
              <w:bottom w:w="75" w:type="dxa"/>
              <w:right w:w="75" w:type="dxa"/>
            </w:tcMar>
          </w:tcPr>
          <w:p w14:paraId="304F18A3" w14:textId="77777777" w:rsidR="006015ED" w:rsidRDefault="004B6F0F">
            <w:pPr>
              <w:spacing w:after="240"/>
              <w:rPr>
                <w:b/>
              </w:rPr>
            </w:pPr>
            <w:r>
              <w:rPr>
                <w:b/>
              </w:rPr>
              <w:t>Likumprojekts</w:t>
            </w:r>
          </w:p>
          <w:p w14:paraId="6570E042" w14:textId="77777777" w:rsidR="006015ED" w:rsidRDefault="004B6F0F">
            <w:r>
              <w:t>(1) Būvatļauju izdod, ja:</w:t>
            </w:r>
          </w:p>
        </w:tc>
        <w:tc>
          <w:tcPr>
            <w:tcW w:w="3610" w:type="dxa"/>
            <w:shd w:val="clear" w:color="auto" w:fill="FFFFFF"/>
            <w:noWrap/>
            <w:tcMar>
              <w:top w:w="75" w:type="dxa"/>
              <w:left w:w="75" w:type="dxa"/>
              <w:bottom w:w="75" w:type="dxa"/>
              <w:right w:w="75" w:type="dxa"/>
            </w:tcMar>
          </w:tcPr>
          <w:p w14:paraId="365822E9" w14:textId="77777777" w:rsidR="006015ED" w:rsidRDefault="004B6F0F">
            <w:pPr>
              <w:spacing w:after="240"/>
              <w:rPr>
                <w:b/>
              </w:rPr>
            </w:pPr>
            <w:r>
              <w:rPr>
                <w:b/>
              </w:rPr>
              <w:t>Iebildums (EM - 03.05.2022.)</w:t>
            </w:r>
          </w:p>
          <w:p w14:paraId="6E4023CD" w14:textId="77777777" w:rsidR="006015ED" w:rsidRDefault="004B6F0F">
            <w:r>
              <w:t xml:space="preserve">Nav saprotams, vai minētajiem nosacījumiem jāizpildās vienlaikus </w:t>
            </w:r>
            <w:r>
              <w:lastRenderedPageBreak/>
              <w:t>vai tie uzskaitīti kā atsevišķi gadījumi. Ja NIO statuss ir kā norma visiem VES projektiem šī likuma ietvarā, šajā pantā ir pretruna.  Ja tā nav norma (obligāts nosacījums), tad tas jāprecizē arī likumprojekta 8.pantā. </w:t>
            </w:r>
          </w:p>
          <w:p w14:paraId="2DAA638A" w14:textId="77777777" w:rsidR="006015ED" w:rsidRDefault="004B6F0F">
            <w:pPr>
              <w:spacing w:before="240" w:after="240"/>
              <w:rPr>
                <w:i/>
              </w:rPr>
            </w:pPr>
            <w:r>
              <w:rPr>
                <w:i/>
              </w:rPr>
              <w:t>Piedāvātā redakcija</w:t>
            </w:r>
          </w:p>
          <w:p w14:paraId="7CB9668B" w14:textId="77777777" w:rsidR="006015ED" w:rsidRDefault="004B6F0F">
            <w:r>
              <w:t>-</w:t>
            </w:r>
          </w:p>
        </w:tc>
        <w:tc>
          <w:tcPr>
            <w:tcW w:w="3166" w:type="dxa"/>
            <w:shd w:val="clear" w:color="auto" w:fill="FFFFFF"/>
            <w:noWrap/>
            <w:tcMar>
              <w:top w:w="75" w:type="dxa"/>
              <w:left w:w="75" w:type="dxa"/>
              <w:bottom w:w="75" w:type="dxa"/>
              <w:right w:w="75" w:type="dxa"/>
            </w:tcMar>
          </w:tcPr>
          <w:p w14:paraId="6F9FD249" w14:textId="77777777" w:rsidR="006015ED" w:rsidRDefault="004B6F0F">
            <w:pPr>
              <w:spacing w:after="240"/>
              <w:rPr>
                <w:b/>
              </w:rPr>
            </w:pPr>
            <w:r>
              <w:rPr>
                <w:b/>
              </w:rPr>
              <w:lastRenderedPageBreak/>
              <w:t>Ņemts vērā</w:t>
            </w:r>
          </w:p>
          <w:p w14:paraId="61533B05" w14:textId="77777777" w:rsidR="006015ED" w:rsidRDefault="004B6F0F">
            <w:r>
              <w:t>Papildināta likumprojekta anotācija.</w:t>
            </w:r>
          </w:p>
          <w:p w14:paraId="510C1C70" w14:textId="77777777" w:rsidR="006015ED" w:rsidRDefault="006015ED"/>
          <w:p w14:paraId="58ABC48F" w14:textId="77777777" w:rsidR="006015ED" w:rsidRDefault="004B6F0F">
            <w:r>
              <w:t>Būvniecības valsts kontroles birojs izskatīs tikai tās paredzēto darbību ieceres, kurām likumprojekta ietvaros tiks noteikts Nacionālo interešu objekta statuss. Savukārt likumprojektā paredzētā, kārtība noteic, ka būvatļauju izsniedz tikai pēc Nacionālo interešu objekta statusa saņemšanas paredzētajai darbībai. Tādējādi lai paredzētās darbības ierosinātājs saņemtu būvatļauju jāizpildās visiem likumprojekta 12.panta pirmajā daļā noteiktajiem nosacījumiem.</w:t>
            </w:r>
          </w:p>
        </w:tc>
        <w:tc>
          <w:tcPr>
            <w:tcW w:w="3388" w:type="dxa"/>
            <w:shd w:val="clear" w:color="auto" w:fill="FFFFFF"/>
            <w:noWrap/>
            <w:tcMar>
              <w:top w:w="75" w:type="dxa"/>
              <w:left w:w="75" w:type="dxa"/>
              <w:bottom w:w="75" w:type="dxa"/>
              <w:right w:w="75" w:type="dxa"/>
            </w:tcMar>
          </w:tcPr>
          <w:p w14:paraId="50A093EA" w14:textId="77777777" w:rsidR="006015ED" w:rsidRDefault="004B6F0F">
            <w:r>
              <w:lastRenderedPageBreak/>
              <w:t>(1) Būvatļauju izdod, ja:</w:t>
            </w:r>
          </w:p>
        </w:tc>
      </w:tr>
      <w:tr w:rsidR="006015ED" w14:paraId="5142975F" w14:textId="77777777" w:rsidTr="002E04BD">
        <w:tc>
          <w:tcPr>
            <w:tcW w:w="1015" w:type="dxa"/>
            <w:shd w:val="clear" w:color="auto" w:fill="FFFFFF"/>
            <w:noWrap/>
            <w:tcMar>
              <w:top w:w="75" w:type="dxa"/>
              <w:left w:w="75" w:type="dxa"/>
              <w:bottom w:w="75" w:type="dxa"/>
              <w:right w:w="75" w:type="dxa"/>
            </w:tcMar>
          </w:tcPr>
          <w:p w14:paraId="024E8789" w14:textId="77777777" w:rsidR="006015ED" w:rsidRDefault="004B6F0F">
            <w:r>
              <w:lastRenderedPageBreak/>
              <w:t>40.</w:t>
            </w:r>
          </w:p>
        </w:tc>
        <w:tc>
          <w:tcPr>
            <w:tcW w:w="3388" w:type="dxa"/>
            <w:shd w:val="clear" w:color="auto" w:fill="FFFFFF"/>
            <w:noWrap/>
            <w:tcMar>
              <w:top w:w="75" w:type="dxa"/>
              <w:left w:w="75" w:type="dxa"/>
              <w:bottom w:w="75" w:type="dxa"/>
              <w:right w:w="75" w:type="dxa"/>
            </w:tcMar>
          </w:tcPr>
          <w:p w14:paraId="19B23491" w14:textId="77777777" w:rsidR="006015ED" w:rsidRDefault="004B6F0F">
            <w:pPr>
              <w:spacing w:after="240"/>
              <w:rPr>
                <w:b/>
              </w:rPr>
            </w:pPr>
            <w:r>
              <w:rPr>
                <w:b/>
              </w:rPr>
              <w:t>Likumprojekts</w:t>
            </w:r>
          </w:p>
          <w:p w14:paraId="64974F14" w14:textId="77777777" w:rsidR="006015ED" w:rsidRDefault="004B6F0F">
            <w:r>
              <w:t>(4) Nacionālo interešu objekta statusu paredzētajai darbībai un tā izmantošanas nosacījumus nosaka, izveido un apstiprina Ministru kabinets.</w:t>
            </w:r>
          </w:p>
        </w:tc>
        <w:tc>
          <w:tcPr>
            <w:tcW w:w="3610" w:type="dxa"/>
            <w:shd w:val="clear" w:color="auto" w:fill="FFFFFF"/>
            <w:noWrap/>
            <w:tcMar>
              <w:top w:w="75" w:type="dxa"/>
              <w:left w:w="75" w:type="dxa"/>
              <w:bottom w:w="75" w:type="dxa"/>
              <w:right w:w="75" w:type="dxa"/>
            </w:tcMar>
          </w:tcPr>
          <w:p w14:paraId="1BC1B026" w14:textId="77777777" w:rsidR="006015ED" w:rsidRDefault="004B6F0F">
            <w:pPr>
              <w:spacing w:after="240"/>
              <w:rPr>
                <w:b/>
              </w:rPr>
            </w:pPr>
            <w:r>
              <w:rPr>
                <w:b/>
              </w:rPr>
              <w:t>Priekšlikums (EM - 03.05.2022.)</w:t>
            </w:r>
          </w:p>
          <w:p w14:paraId="708F5B46" w14:textId="77777777" w:rsidR="006015ED" w:rsidRDefault="004B6F0F">
            <w:r>
              <w:t>Priekšikums redakcijai teksta uztveršanas atvieglošanai.</w:t>
            </w:r>
          </w:p>
          <w:p w14:paraId="46AD727B" w14:textId="77777777" w:rsidR="006015ED" w:rsidRDefault="004B6F0F">
            <w:pPr>
              <w:spacing w:before="240" w:after="240"/>
              <w:rPr>
                <w:i/>
              </w:rPr>
            </w:pPr>
            <w:r>
              <w:rPr>
                <w:i/>
              </w:rPr>
              <w:t>Piedāvātā redakcija</w:t>
            </w:r>
          </w:p>
          <w:p w14:paraId="070DC1D0" w14:textId="77777777" w:rsidR="006015ED" w:rsidRDefault="004B6F0F">
            <w:r>
              <w:t>Paredzētajai darbībai  nacionālo interešu objekta statusu un tā izmantošanas nosacījumus nosaka, izveido un apstiprina Ministru kabinets.</w:t>
            </w:r>
          </w:p>
        </w:tc>
        <w:tc>
          <w:tcPr>
            <w:tcW w:w="3166" w:type="dxa"/>
            <w:shd w:val="clear" w:color="auto" w:fill="FFFFFF"/>
            <w:noWrap/>
            <w:tcMar>
              <w:top w:w="75" w:type="dxa"/>
              <w:left w:w="75" w:type="dxa"/>
              <w:bottom w:w="75" w:type="dxa"/>
              <w:right w:w="75" w:type="dxa"/>
            </w:tcMar>
          </w:tcPr>
          <w:p w14:paraId="35D0F5F8" w14:textId="77777777" w:rsidR="006015ED" w:rsidRDefault="004B6F0F">
            <w:pPr>
              <w:spacing w:after="240"/>
              <w:rPr>
                <w:b/>
              </w:rPr>
            </w:pPr>
            <w:r>
              <w:rPr>
                <w:b/>
              </w:rPr>
              <w:t>Ņemts vērā</w:t>
            </w:r>
          </w:p>
          <w:p w14:paraId="2C7907C8" w14:textId="77777777" w:rsidR="006015ED" w:rsidRDefault="004B6F0F">
            <w:r>
              <w:t>Precizēta likumprojekta 8.panta ceturtās daļas redakcija.</w:t>
            </w:r>
          </w:p>
        </w:tc>
        <w:tc>
          <w:tcPr>
            <w:tcW w:w="3388" w:type="dxa"/>
            <w:shd w:val="clear" w:color="auto" w:fill="FFFFFF"/>
            <w:noWrap/>
            <w:tcMar>
              <w:top w:w="75" w:type="dxa"/>
              <w:left w:w="75" w:type="dxa"/>
              <w:bottom w:w="75" w:type="dxa"/>
              <w:right w:w="75" w:type="dxa"/>
            </w:tcMar>
          </w:tcPr>
          <w:p w14:paraId="3A2C5195" w14:textId="77777777" w:rsidR="006015ED" w:rsidRDefault="004B6F0F">
            <w:r>
              <w:t>(4) Paredzētajai darbībai  nacionālo interešu objekta statusu un tā izmantošanas nosacījumus nosaka, izveido un apstiprina Ministru kabinets.</w:t>
            </w:r>
          </w:p>
        </w:tc>
      </w:tr>
    </w:tbl>
    <w:p w14:paraId="5378DD44" w14:textId="77777777" w:rsidR="004B6F0F" w:rsidRDefault="004B6F0F"/>
    <w:sectPr w:rsidR="004B6F0F">
      <w:headerReference w:type="default" r:id="rId7"/>
      <w:footerReference w:type="default" r:id="rId8"/>
      <w:headerReference w:type="first" r:id="rId9"/>
      <w:pgSz w:w="16833" w:h="11908" w:orient="landscape"/>
      <w:pgMar w:top="1133" w:right="1133" w:bottom="1133" w:left="1133"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CA3904" w14:textId="77777777" w:rsidR="00726595" w:rsidRDefault="00726595">
      <w:r>
        <w:separator/>
      </w:r>
    </w:p>
  </w:endnote>
  <w:endnote w:type="continuationSeparator" w:id="0">
    <w:p w14:paraId="0EB86729" w14:textId="77777777" w:rsidR="00726595" w:rsidRDefault="00726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Palatino">
    <w:altName w:val="Book Antiqua"/>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20792" w14:textId="77777777" w:rsidR="006015ED" w:rsidRDefault="004B6F0F">
    <w:pPr>
      <w:jc w:val="right"/>
    </w:pPr>
    <w:r>
      <w:rPr>
        <w:szCs w:val="24"/>
      </w:rPr>
      <w:fldChar w:fldCharType="begin"/>
    </w:r>
    <w:r>
      <w:rPr>
        <w:szCs w:val="24"/>
      </w:rPr>
      <w:instrText>PAGE</w:instrText>
    </w:r>
    <w:r>
      <w:rPr>
        <w:szCs w:val="24"/>
      </w:rPr>
      <w:fldChar w:fldCharType="separate"/>
    </w:r>
    <w:r w:rsidR="00702C60">
      <w:rPr>
        <w:noProof/>
        <w:szCs w:val="24"/>
      </w:rPr>
      <w:t>3</w:t>
    </w:r>
    <w:r>
      <w:rPr>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4942B1" w14:textId="77777777" w:rsidR="00726595" w:rsidRDefault="00726595">
      <w:r>
        <w:separator/>
      </w:r>
    </w:p>
  </w:footnote>
  <w:footnote w:type="continuationSeparator" w:id="0">
    <w:p w14:paraId="3EB11654" w14:textId="77777777" w:rsidR="00726595" w:rsidRDefault="007265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470BB1" w14:textId="5F5001C2" w:rsidR="006015ED" w:rsidRDefault="006B0731">
    <w:pPr>
      <w:pStyle w:val="Header"/>
      <w:contextualSpacing w:val="0"/>
    </w:pPr>
    <w:r>
      <w:t xml:space="preserve">Izraksts no </w:t>
    </w:r>
    <w:r w:rsidR="004B6F0F">
      <w:t>Izziņa</w:t>
    </w:r>
    <w:r>
      <w:t>s</w:t>
    </w:r>
    <w:r w:rsidR="004B6F0F">
      <w:t xml:space="preserve"> 22-TA-1138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D0C60E" w14:textId="469F10B0" w:rsidR="006015ED" w:rsidRPr="006B0731" w:rsidRDefault="006B0731" w:rsidP="006B0731">
    <w:pPr>
      <w:pStyle w:val="Header"/>
      <w:contextualSpacing w:val="0"/>
    </w:pPr>
    <w:r>
      <w:t>Izraksts no Izziņas 22-TA-1138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6015ED"/>
    <w:rsid w:val="002E04BD"/>
    <w:rsid w:val="004B6F0F"/>
    <w:rsid w:val="006015ED"/>
    <w:rsid w:val="006B0731"/>
    <w:rsid w:val="00702C60"/>
    <w:rsid w:val="00726595"/>
    <w:rsid w:val="00EF1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B8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333333"/>
        <w:sz w:val="24"/>
        <w:lang w:val="lv-LV"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rFonts w:ascii="Arial" w:eastAsia="Arial" w:hAnsi="Arial" w:cs="Arial"/>
      <w:b/>
      <w:sz w:val="26"/>
    </w:rPr>
  </w:style>
  <w:style w:type="paragraph" w:styleId="Heading3">
    <w:name w:val="heading 3"/>
    <w:basedOn w:val="Normal"/>
    <w:next w:val="Normal"/>
    <w:uiPriority w:val="9"/>
    <w:semiHidden/>
    <w:unhideWhenUsed/>
    <w:qFormat/>
    <w:pPr>
      <w:spacing w:before="120" w:after="160"/>
      <w:contextualSpacing/>
      <w:outlineLvl w:val="2"/>
    </w:pPr>
    <w:rPr>
      <w:rFonts w:ascii="Arial" w:eastAsia="Arial" w:hAnsi="Arial" w:cs="Arial"/>
      <w:b/>
      <w:i/>
      <w:color w:val="666666"/>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rPr>
  </w:style>
  <w:style w:type="paragraph" w:styleId="Heading5">
    <w:name w:val="heading 5"/>
    <w:basedOn w:val="Normal"/>
    <w:next w:val="Normal"/>
    <w:uiPriority w:val="9"/>
    <w:semiHidden/>
    <w:unhideWhenUsed/>
    <w:qFormat/>
    <w:pPr>
      <w:spacing w:before="120" w:after="120"/>
      <w:contextualSpacing/>
      <w:outlineLvl w:val="4"/>
    </w:pPr>
    <w:rPr>
      <w:rFonts w:ascii="Arial" w:eastAsia="Arial" w:hAnsi="Arial" w:cs="Arial"/>
      <w:b/>
      <w:sz w:val="22"/>
    </w:rPr>
  </w:style>
  <w:style w:type="paragraph" w:styleId="Heading6">
    <w:name w:val="heading 6"/>
    <w:basedOn w:val="Normal"/>
    <w:next w:val="Normal"/>
    <w:uiPriority w:val="9"/>
    <w:semiHidden/>
    <w:unhideWhenUsed/>
    <w:qFormat/>
    <w:pPr>
      <w:spacing w:before="120" w:after="120"/>
      <w:contextualSpacing/>
      <w:outlineLvl w:val="5"/>
    </w:pPr>
    <w:rPr>
      <w:rFonts w:ascii="Arial" w:eastAsia="Arial" w:hAnsi="Arial" w:cs="Arial"/>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rFonts w:ascii="Arial" w:eastAsia="Arial" w:hAnsi="Arial" w:cs="Arial"/>
      <w:sz w:val="28"/>
    </w:rPr>
  </w:style>
  <w:style w:type="paragraph" w:customStyle="1" w:styleId="paragraph">
    <w:name w:val="paragraph"/>
    <w:basedOn w:val="Normal"/>
    <w:next w:val="Normal"/>
    <w:pPr>
      <w:contextualSpacing/>
    </w:pPr>
  </w:style>
  <w:style w:type="paragraph" w:customStyle="1" w:styleId="titleparagraph">
    <w:name w:val="title_paragraph"/>
    <w:basedOn w:val="Normal"/>
    <w:next w:val="Normal"/>
    <w:pPr>
      <w:spacing w:after="280"/>
      <w:contextualSpacing/>
    </w:pPr>
    <w:rPr>
      <w:b/>
      <w:sz w:val="28"/>
    </w:rPr>
  </w:style>
  <w:style w:type="paragraph" w:styleId="Header">
    <w:name w:val="header"/>
    <w:basedOn w:val="Normal"/>
    <w:next w:val="Normal"/>
    <w:pPr>
      <w:spacing w:after="280"/>
      <w:contextualSpacing/>
      <w:jc w:val="right"/>
    </w:pPr>
  </w:style>
  <w:style w:type="paragraph" w:customStyle="1" w:styleId="signeddocumentparagraph">
    <w:name w:val="signed_document_paragraph"/>
    <w:basedOn w:val="Normal"/>
    <w:next w:val="Normal"/>
    <w:pPr>
      <w:contextualSpacing/>
      <w:jc w:val="right"/>
    </w:pPr>
  </w:style>
  <w:style w:type="table" w:customStyle="1" w:styleId="a">
    <w:basedOn w:val="TableNormal"/>
    <w:tblPr>
      <w:tblStyleRowBandSize w:val="1"/>
      <w:tblStyleColBandSize w:val="1"/>
    </w:tblPr>
  </w:style>
  <w:style w:type="paragraph" w:styleId="Footer">
    <w:name w:val="footer"/>
    <w:basedOn w:val="Normal"/>
    <w:link w:val="FooterChar"/>
    <w:uiPriority w:val="99"/>
    <w:unhideWhenUsed/>
    <w:rsid w:val="006B0731"/>
    <w:pPr>
      <w:tabs>
        <w:tab w:val="center" w:pos="4320"/>
        <w:tab w:val="right" w:pos="8640"/>
      </w:tabs>
    </w:pPr>
  </w:style>
  <w:style w:type="character" w:customStyle="1" w:styleId="FooterChar">
    <w:name w:val="Footer Char"/>
    <w:basedOn w:val="DefaultParagraphFont"/>
    <w:link w:val="Footer"/>
    <w:uiPriority w:val="99"/>
    <w:rsid w:val="006B07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333333"/>
        <w:sz w:val="24"/>
        <w:lang w:val="lv-LV"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rFonts w:ascii="Arial" w:eastAsia="Arial" w:hAnsi="Arial" w:cs="Arial"/>
      <w:b/>
      <w:sz w:val="26"/>
    </w:rPr>
  </w:style>
  <w:style w:type="paragraph" w:styleId="Heading3">
    <w:name w:val="heading 3"/>
    <w:basedOn w:val="Normal"/>
    <w:next w:val="Normal"/>
    <w:uiPriority w:val="9"/>
    <w:semiHidden/>
    <w:unhideWhenUsed/>
    <w:qFormat/>
    <w:pPr>
      <w:spacing w:before="120" w:after="160"/>
      <w:contextualSpacing/>
      <w:outlineLvl w:val="2"/>
    </w:pPr>
    <w:rPr>
      <w:rFonts w:ascii="Arial" w:eastAsia="Arial" w:hAnsi="Arial" w:cs="Arial"/>
      <w:b/>
      <w:i/>
      <w:color w:val="666666"/>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rPr>
  </w:style>
  <w:style w:type="paragraph" w:styleId="Heading5">
    <w:name w:val="heading 5"/>
    <w:basedOn w:val="Normal"/>
    <w:next w:val="Normal"/>
    <w:uiPriority w:val="9"/>
    <w:semiHidden/>
    <w:unhideWhenUsed/>
    <w:qFormat/>
    <w:pPr>
      <w:spacing w:before="120" w:after="120"/>
      <w:contextualSpacing/>
      <w:outlineLvl w:val="4"/>
    </w:pPr>
    <w:rPr>
      <w:rFonts w:ascii="Arial" w:eastAsia="Arial" w:hAnsi="Arial" w:cs="Arial"/>
      <w:b/>
      <w:sz w:val="22"/>
    </w:rPr>
  </w:style>
  <w:style w:type="paragraph" w:styleId="Heading6">
    <w:name w:val="heading 6"/>
    <w:basedOn w:val="Normal"/>
    <w:next w:val="Normal"/>
    <w:uiPriority w:val="9"/>
    <w:semiHidden/>
    <w:unhideWhenUsed/>
    <w:qFormat/>
    <w:pPr>
      <w:spacing w:before="120" w:after="120"/>
      <w:contextualSpacing/>
      <w:outlineLvl w:val="5"/>
    </w:pPr>
    <w:rPr>
      <w:rFonts w:ascii="Arial" w:eastAsia="Arial" w:hAnsi="Arial" w:cs="Arial"/>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rFonts w:ascii="Arial" w:eastAsia="Arial" w:hAnsi="Arial" w:cs="Arial"/>
      <w:sz w:val="28"/>
    </w:rPr>
  </w:style>
  <w:style w:type="paragraph" w:customStyle="1" w:styleId="paragraph">
    <w:name w:val="paragraph"/>
    <w:basedOn w:val="Normal"/>
    <w:next w:val="Normal"/>
    <w:pPr>
      <w:contextualSpacing/>
    </w:pPr>
  </w:style>
  <w:style w:type="paragraph" w:customStyle="1" w:styleId="titleparagraph">
    <w:name w:val="title_paragraph"/>
    <w:basedOn w:val="Normal"/>
    <w:next w:val="Normal"/>
    <w:pPr>
      <w:spacing w:after="280"/>
      <w:contextualSpacing/>
    </w:pPr>
    <w:rPr>
      <w:b/>
      <w:sz w:val="28"/>
    </w:rPr>
  </w:style>
  <w:style w:type="paragraph" w:styleId="Header">
    <w:name w:val="header"/>
    <w:basedOn w:val="Normal"/>
    <w:next w:val="Normal"/>
    <w:pPr>
      <w:spacing w:after="280"/>
      <w:contextualSpacing/>
      <w:jc w:val="right"/>
    </w:pPr>
  </w:style>
  <w:style w:type="paragraph" w:customStyle="1" w:styleId="signeddocumentparagraph">
    <w:name w:val="signed_document_paragraph"/>
    <w:basedOn w:val="Normal"/>
    <w:next w:val="Normal"/>
    <w:pPr>
      <w:contextualSpacing/>
      <w:jc w:val="right"/>
    </w:pPr>
  </w:style>
  <w:style w:type="table" w:customStyle="1" w:styleId="a">
    <w:basedOn w:val="TableNormal"/>
    <w:tblPr>
      <w:tblStyleRowBandSize w:val="1"/>
      <w:tblStyleColBandSize w:val="1"/>
    </w:tblPr>
  </w:style>
  <w:style w:type="paragraph" w:styleId="Footer">
    <w:name w:val="footer"/>
    <w:basedOn w:val="Normal"/>
    <w:link w:val="FooterChar"/>
    <w:uiPriority w:val="99"/>
    <w:unhideWhenUsed/>
    <w:rsid w:val="006B0731"/>
    <w:pPr>
      <w:tabs>
        <w:tab w:val="center" w:pos="4320"/>
        <w:tab w:val="right" w:pos="8640"/>
      </w:tabs>
    </w:pPr>
  </w:style>
  <w:style w:type="character" w:customStyle="1" w:styleId="FooterChar">
    <w:name w:val="Footer Char"/>
    <w:basedOn w:val="DefaultParagraphFont"/>
    <w:link w:val="Footer"/>
    <w:uiPriority w:val="99"/>
    <w:rsid w:val="006B0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2419</Words>
  <Characters>1380</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Izziņa_22-TA-1138.docx</vt:lpstr>
    </vt:vector>
  </TitlesOfParts>
  <Company/>
  <LinksUpToDate>false</LinksUpToDate>
  <CharactersWithSpaces>3792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Izziņa_22-TA-1138.docx</dc:title>
  <dc:creator>Māra Keiša</dc:creator>
  <cp:lastModifiedBy>Māra Keiša</cp:lastModifiedBy>
  <cp:revision>2</cp:revision>
  <dcterms:created xsi:type="dcterms:W3CDTF">2022-06-29T07:34:00Z</dcterms:created>
  <dcterms:modified xsi:type="dcterms:W3CDTF">2022-06-29T07:34:00Z</dcterms:modified>
</cp:coreProperties>
</file>